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17n0uf44s3f0" w:id="0"/>
      <w:bookmarkEnd w:id="0"/>
      <w:r w:rsidDel="00000000" w:rsidR="00000000" w:rsidRPr="00000000">
        <w:rPr>
          <w:b w:val="1"/>
          <w:bCs w:val="1"/>
          <w:sz w:val="46"/>
          <w:szCs w:val="46"/>
          <w:rtl w:val="0"/>
        </w:rPr>
        <w:t xml:space="preserve">Scholarly Abstract</w:t>
      </w:r>
    </w:p>
    <w:p w:rsidR="00000000" w:rsidDel="00000000" w:rsidP="00000000" w:rsidRDefault="00000000" w:rsidRPr="00000000" w14:paraId="00000002">
      <w:pPr>
        <w:spacing w:after="240" w:before="240" w:lineRule="auto"/>
        <w:rPr/>
      </w:pPr>
      <w:r w:rsidDel="00000000" w:rsidR="00000000" w:rsidRPr="00000000">
        <w:rPr>
          <w:rtl w:val="0"/>
        </w:rPr>
        <w:t xml:space="preserve">This article examines the case of </w:t>
      </w:r>
      <w:r w:rsidDel="00000000" w:rsidR="00000000" w:rsidRPr="00000000">
        <w:rPr>
          <w:i w:val="1"/>
          <w:iCs w:val="1"/>
          <w:rtl w:val="0"/>
        </w:rPr>
        <w:t xml:space="preserve">Mr Wayne A. Sawyer El</w:t>
      </w:r>
      <w:r w:rsidDel="00000000" w:rsidR="00000000" w:rsidRPr="00000000">
        <w:rPr>
          <w:rtl w:val="0"/>
        </w:rPr>
        <w:t xml:space="preserve"> as a critical lens through which to analyse the intersection of </w:t>
      </w:r>
      <w:r w:rsidDel="00000000" w:rsidR="00000000" w:rsidRPr="00000000">
        <w:rPr>
          <w:b w:val="1"/>
          <w:bCs w:val="1"/>
          <w:rtl w:val="0"/>
        </w:rPr>
        <w:t xml:space="preserve">procedural justice</w:t>
      </w:r>
      <w:r w:rsidDel="00000000" w:rsidR="00000000" w:rsidRPr="00000000">
        <w:rPr>
          <w:rtl w:val="0"/>
        </w:rPr>
        <w:t xml:space="preserve">, </w:t>
      </w:r>
      <w:r w:rsidDel="00000000" w:rsidR="00000000" w:rsidRPr="00000000">
        <w:rPr>
          <w:b w:val="1"/>
          <w:bCs w:val="1"/>
          <w:rtl w:val="0"/>
        </w:rPr>
        <w:t xml:space="preserve">racialised state power</w:t>
      </w:r>
      <w:r w:rsidDel="00000000" w:rsidR="00000000" w:rsidRPr="00000000">
        <w:rPr>
          <w:rtl w:val="0"/>
        </w:rPr>
        <w:t xml:space="preserve">, and </w:t>
      </w:r>
      <w:r w:rsidDel="00000000" w:rsidR="00000000" w:rsidRPr="00000000">
        <w:rPr>
          <w:b w:val="1"/>
          <w:bCs w:val="1"/>
          <w:rtl w:val="0"/>
        </w:rPr>
        <w:t xml:space="preserve">property law</w:t>
      </w:r>
      <w:r w:rsidDel="00000000" w:rsidR="00000000" w:rsidRPr="00000000">
        <w:rPr>
          <w:rtl w:val="0"/>
        </w:rPr>
        <w:t xml:space="preserve"> in contemporary Britain. Drawing on doctrinal analysis, evidential records, and the Applicant’s lived experience, the study argues that the actions of Network Rail, The Arch Company, Blackstone, Haringey Council, and the Metropolitan Police reveal a pattern of </w:t>
      </w:r>
      <w:r w:rsidDel="00000000" w:rsidR="00000000" w:rsidRPr="00000000">
        <w:rPr>
          <w:b w:val="1"/>
          <w:bCs w:val="1"/>
          <w:rtl w:val="0"/>
        </w:rPr>
        <w:t xml:space="preserve">structural dispossession</w:t>
      </w:r>
      <w:r w:rsidDel="00000000" w:rsidR="00000000" w:rsidRPr="00000000">
        <w:rPr>
          <w:rtl w:val="0"/>
        </w:rPr>
        <w:t xml:space="preserve"> disproportionately affecting vulnerable ethnic‑minority individuals.</w:t>
      </w:r>
    </w:p>
    <w:p w:rsidR="00000000" w:rsidDel="00000000" w:rsidP="00000000" w:rsidRDefault="00000000" w:rsidRPr="00000000" w14:paraId="00000003">
      <w:pPr>
        <w:spacing w:after="240" w:before="240" w:lineRule="auto"/>
        <w:rPr/>
      </w:pPr>
      <w:r w:rsidDel="00000000" w:rsidR="00000000" w:rsidRPr="00000000">
        <w:rPr>
          <w:rtl w:val="0"/>
        </w:rPr>
        <w:t xml:space="preserve">The case is doctrinally significant for three reasons. First, Network Rail’s internal customer‑service record—formally identifying the Applicant by name and address—demonstrates institutional knowledge of his long‑standing occupation, undermining any claim that he was an unauthorised occupier. Second, the Land Registry extract for Title AGL470655 exposes substantive defects in the Respondents’ claimed proprietary interest, raising questions about standing, authority, and the legitimacy of subsequent enforcement actions. Third, the Applicant’s experience of utility deprivation, obstruction of his only safety exit, seizure of property, and racially aggravated conduct constitutes a breach of </w:t>
      </w:r>
      <w:r w:rsidDel="00000000" w:rsidR="00000000" w:rsidRPr="00000000">
        <w:rPr>
          <w:b w:val="1"/>
          <w:bCs w:val="1"/>
          <w:rtl w:val="0"/>
        </w:rPr>
        <w:t xml:space="preserve">Article 8 ECHR</w:t>
      </w:r>
      <w:r w:rsidDel="00000000" w:rsidR="00000000" w:rsidRPr="00000000">
        <w:rPr>
          <w:rtl w:val="0"/>
        </w:rPr>
        <w:t xml:space="preserve">, the </w:t>
      </w:r>
      <w:r w:rsidDel="00000000" w:rsidR="00000000" w:rsidRPr="00000000">
        <w:rPr>
          <w:b w:val="1"/>
          <w:bCs w:val="1"/>
          <w:rtl w:val="0"/>
        </w:rPr>
        <w:t xml:space="preserve">Equality Act 2010</w:t>
      </w:r>
      <w:r w:rsidDel="00000000" w:rsidR="00000000" w:rsidRPr="00000000">
        <w:rPr>
          <w:rtl w:val="0"/>
        </w:rPr>
        <w:t xml:space="preserve">, and foundational principles of </w:t>
      </w:r>
      <w:r w:rsidDel="00000000" w:rsidR="00000000" w:rsidRPr="00000000">
        <w:rPr>
          <w:b w:val="1"/>
          <w:bCs w:val="1"/>
          <w:rtl w:val="0"/>
        </w:rPr>
        <w:t xml:space="preserve">natural justice</w:t>
      </w:r>
      <w:r w:rsidDel="00000000" w:rsidR="00000000" w:rsidRPr="00000000">
        <w:rPr>
          <w:rtl w:val="0"/>
        </w:rPr>
        <w:t xml:space="preserve">.</w:t>
      </w:r>
    </w:p>
    <w:p w:rsidR="00000000" w:rsidDel="00000000" w:rsidP="00000000" w:rsidRDefault="00000000" w:rsidRPr="00000000" w14:paraId="00000004">
      <w:pPr>
        <w:spacing w:after="240" w:before="240" w:lineRule="auto"/>
        <w:rPr/>
      </w:pPr>
      <w:r w:rsidDel="00000000" w:rsidR="00000000" w:rsidRPr="00000000">
        <w:rPr>
          <w:rtl w:val="0"/>
        </w:rPr>
        <w:t xml:space="preserve">The article situates these events within a broader socio‑legal context, arguing that the Applicant’s treatment reflects systemic failures in safeguarding, public‑law duties, and the equitable administration of justice. It contends that the case exemplifies how racialised assumptions, administrative neglect, and fragmented governance structures can converge to produce unlawful and harmful outcomes for marginalised individuals.</w:t>
      </w:r>
    </w:p>
    <w:p w:rsidR="00000000" w:rsidDel="00000000" w:rsidP="00000000" w:rsidRDefault="00000000" w:rsidRPr="00000000" w14:paraId="00000005">
      <w:pPr>
        <w:spacing w:after="240" w:before="240" w:lineRule="auto"/>
        <w:rPr/>
      </w:pPr>
      <w:r w:rsidDel="00000000" w:rsidR="00000000" w:rsidRPr="00000000">
        <w:rPr>
          <w:rtl w:val="0"/>
        </w:rPr>
        <w:t xml:space="preserve">The study concludes that the High Court’s intervention is necessary not only to remedy the Applicant’s individual circumstances but also to reaffirm the constitutional principles of fairness, proportionality, and accountability. The case underscores the urgent need for institutional reform and highlights the role of community‑based organisations—such as the Black Justice Research Centre—in supporting vulnerable individuals navigating complex and hostile legal environments.</w:t>
      </w:r>
    </w:p>
    <w:p w:rsidR="00000000" w:rsidDel="00000000" w:rsidP="00000000" w:rsidRDefault="00000000" w:rsidRPr="00000000" w14:paraId="0000000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