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gde0ooo4qv08" w:id="0"/>
      <w:bookmarkEnd w:id="0"/>
      <w:r w:rsidDel="00000000" w:rsidR="00000000" w:rsidRPr="00000000">
        <w:rPr>
          <w:b w:val="1"/>
          <w:bCs w:val="1"/>
          <w:sz w:val="46"/>
          <w:szCs w:val="46"/>
          <w:rtl w:val="0"/>
        </w:rPr>
        <w:t xml:space="preserve">BLACK JUSTICE PUBLICATION</w:t>
      </w:r>
    </w:p>
    <w:p w:rsidR="00000000" w:rsidDel="00000000" w:rsidP="00000000" w:rsidRDefault="00000000" w:rsidRPr="00000000" w14:paraId="00000002">
      <w:pPr>
        <w:spacing w:after="240" w:before="240" w:lineRule="auto"/>
        <w:rPr/>
      </w:pPr>
      <w:r w:rsidDel="00000000" w:rsidR="00000000" w:rsidRPr="00000000">
        <w:rPr>
          <w:b w:val="1"/>
          <w:bCs w:val="1"/>
          <w:rtl w:val="0"/>
        </w:rPr>
        <w:t xml:space="preserve">Title:</w:t>
      </w:r>
      <w:r w:rsidDel="00000000" w:rsidR="00000000" w:rsidRPr="00000000">
        <w:rPr>
          <w:rtl w:val="0"/>
        </w:rPr>
        <w:t xml:space="preserve"> </w:t>
      </w:r>
      <w:r w:rsidDel="00000000" w:rsidR="00000000" w:rsidRPr="00000000">
        <w:rPr>
          <w:i w:val="1"/>
          <w:iCs w:val="1"/>
          <w:rtl w:val="0"/>
        </w:rPr>
        <w:t xml:space="preserve">Regulatory Chronology, Procedural Integrity, and Racialised Minimisation: The Case of SRA Decision RGC‑000175478</w:t>
        <w:br w:type="textWrapping"/>
      </w:r>
      <w:r w:rsidDel="00000000" w:rsidR="00000000" w:rsidRPr="00000000">
        <w:rPr>
          <w:rtl w:val="0"/>
        </w:rPr>
        <w:t xml:space="preserve"> </w:t>
      </w:r>
      <w:r w:rsidDel="00000000" w:rsidR="00000000" w:rsidRPr="00000000">
        <w:rPr>
          <w:b w:val="1"/>
          <w:bCs w:val="1"/>
          <w:rtl w:val="0"/>
        </w:rPr>
        <w:t xml:space="preserve">Date of Publication:</w:t>
      </w:r>
      <w:r w:rsidDel="00000000" w:rsidR="00000000" w:rsidRPr="00000000">
        <w:rPr>
          <w:rtl w:val="0"/>
        </w:rPr>
        <w:t xml:space="preserve"> 4 March 2026</w:t>
        <w:br w:type="textWrapping"/>
        <w:t xml:space="preserve"> </w:t>
      </w:r>
      <w:r w:rsidDel="00000000" w:rsidR="00000000" w:rsidRPr="00000000">
        <w:rPr>
          <w:b w:val="1"/>
          <w:bCs w:val="1"/>
          <w:rtl w:val="0"/>
        </w:rPr>
        <w:t xml:space="preserve">Publisher:</w:t>
      </w:r>
      <w:r w:rsidDel="00000000" w:rsidR="00000000" w:rsidRPr="00000000">
        <w:rPr>
          <w:rtl w:val="0"/>
        </w:rPr>
        <w:t xml:space="preserve"> Black Justice Research Centre, London</w:t>
      </w:r>
    </w:p>
    <w:p w:rsidR="00000000" w:rsidDel="00000000" w:rsidP="00000000" w:rsidRDefault="00000000" w:rsidRPr="00000000" w14:paraId="000000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3"/>
        <w:keepNext w:val="0"/>
        <w:keepLines w:val="0"/>
        <w:spacing w:before="280" w:lineRule="auto"/>
        <w:rPr>
          <w:b w:val="1"/>
          <w:bCs w:val="1"/>
          <w:color w:val="000000"/>
          <w:sz w:val="26"/>
          <w:szCs w:val="26"/>
        </w:rPr>
      </w:pPr>
      <w:bookmarkStart w:colFirst="0" w:colLast="0" w:name="_r3kn11eecod4" w:id="1"/>
      <w:bookmarkEnd w:id="1"/>
      <w:r w:rsidDel="00000000" w:rsidR="00000000" w:rsidRPr="00000000">
        <w:rPr>
          <w:b w:val="1"/>
          <w:bCs w:val="1"/>
          <w:color w:val="000000"/>
          <w:sz w:val="26"/>
          <w:szCs w:val="26"/>
          <w:rtl w:val="0"/>
        </w:rPr>
        <w:t xml:space="preserve">Executive Summary</w:t>
      </w:r>
    </w:p>
    <w:p w:rsidR="00000000" w:rsidDel="00000000" w:rsidP="00000000" w:rsidRDefault="00000000" w:rsidRPr="00000000" w14:paraId="00000005">
      <w:pPr>
        <w:spacing w:after="240" w:before="240" w:lineRule="auto"/>
        <w:rPr/>
      </w:pPr>
      <w:r w:rsidDel="00000000" w:rsidR="00000000" w:rsidRPr="00000000">
        <w:rPr>
          <w:rtl w:val="0"/>
        </w:rPr>
        <w:t xml:space="preserve">Black Justice publishes this report to document a significant procedural breach within the Solicitors Regulation Authority (SRA) concerning Case </w:t>
      </w:r>
      <w:r w:rsidDel="00000000" w:rsidR="00000000" w:rsidRPr="00000000">
        <w:rPr>
          <w:b w:val="1"/>
          <w:bCs w:val="1"/>
          <w:rtl w:val="0"/>
        </w:rPr>
        <w:t xml:space="preserve">RGC‑000175478</w:t>
      </w:r>
      <w:r w:rsidDel="00000000" w:rsidR="00000000" w:rsidRPr="00000000">
        <w:rPr>
          <w:rtl w:val="0"/>
        </w:rPr>
        <w:t xml:space="preserve">. The SRA issued a decision dated </w:t>
      </w:r>
      <w:r w:rsidDel="00000000" w:rsidR="00000000" w:rsidRPr="00000000">
        <w:rPr>
          <w:b w:val="1"/>
          <w:bCs w:val="1"/>
          <w:rtl w:val="0"/>
        </w:rPr>
        <w:t xml:space="preserve">18 February 2026</w:t>
      </w:r>
      <w:r w:rsidDel="00000000" w:rsidR="00000000" w:rsidRPr="00000000">
        <w:rPr>
          <w:rtl w:val="0"/>
        </w:rPr>
        <w:t xml:space="preserve"> which states that the regulator received the complainant’s report on </w:t>
      </w:r>
      <w:r w:rsidDel="00000000" w:rsidR="00000000" w:rsidRPr="00000000">
        <w:rPr>
          <w:b w:val="1"/>
          <w:bCs w:val="1"/>
          <w:rtl w:val="0"/>
        </w:rPr>
        <w:t xml:space="preserve">13 November 2026</w:t>
      </w:r>
      <w:r w:rsidDel="00000000" w:rsidR="00000000" w:rsidRPr="00000000">
        <w:rPr>
          <w:rtl w:val="0"/>
        </w:rPr>
        <w:t xml:space="preserve">—nine months </w:t>
      </w:r>
      <w:r w:rsidDel="00000000" w:rsidR="00000000" w:rsidRPr="00000000">
        <w:rPr>
          <w:i w:val="1"/>
          <w:iCs w:val="1"/>
          <w:rtl w:val="0"/>
        </w:rPr>
        <w:t xml:space="preserve">after</w:t>
      </w:r>
      <w:r w:rsidDel="00000000" w:rsidR="00000000" w:rsidRPr="00000000">
        <w:rPr>
          <w:rtl w:val="0"/>
        </w:rPr>
        <w:t xml:space="preserve"> the decision was issued.</w:t>
      </w:r>
    </w:p>
    <w:p w:rsidR="00000000" w:rsidDel="00000000" w:rsidP="00000000" w:rsidRDefault="00000000" w:rsidRPr="00000000" w14:paraId="00000006">
      <w:pPr>
        <w:spacing w:after="240" w:before="240" w:lineRule="auto"/>
        <w:rPr/>
      </w:pPr>
      <w:r w:rsidDel="00000000" w:rsidR="00000000" w:rsidRPr="00000000">
        <w:rPr>
          <w:rtl w:val="0"/>
        </w:rPr>
        <w:t xml:space="preserve">This is a </w:t>
      </w:r>
      <w:r w:rsidDel="00000000" w:rsidR="00000000" w:rsidRPr="00000000">
        <w:rPr>
          <w:b w:val="1"/>
          <w:bCs w:val="1"/>
          <w:rtl w:val="0"/>
        </w:rPr>
        <w:t xml:space="preserve">chronological impossibility</w:t>
      </w:r>
      <w:r w:rsidDel="00000000" w:rsidR="00000000" w:rsidRPr="00000000">
        <w:rPr>
          <w:rtl w:val="0"/>
        </w:rPr>
        <w:t xml:space="preserve">.</w:t>
        <w:br w:type="textWrapping"/>
        <w:t xml:space="preserve"> It raises serious concerns about:</w:t>
      </w:r>
    </w:p>
    <w:p w:rsidR="00000000" w:rsidDel="00000000" w:rsidP="00000000" w:rsidRDefault="00000000" w:rsidRPr="00000000" w14:paraId="00000007">
      <w:pPr>
        <w:numPr>
          <w:ilvl w:val="0"/>
          <w:numId w:val="5"/>
        </w:numPr>
        <w:spacing w:after="0" w:afterAutospacing="0" w:before="240" w:lineRule="auto"/>
        <w:ind w:left="720" w:hanging="360"/>
      </w:pPr>
      <w:r w:rsidDel="00000000" w:rsidR="00000000" w:rsidRPr="00000000">
        <w:rPr>
          <w:rtl w:val="0"/>
        </w:rPr>
        <w:t xml:space="preserve">the integrity of the SRA’s case‑handling systems,</w:t>
      </w:r>
    </w:p>
    <w:p w:rsidR="00000000" w:rsidDel="00000000" w:rsidP="00000000" w:rsidRDefault="00000000" w:rsidRPr="00000000" w14:paraId="00000008">
      <w:pPr>
        <w:numPr>
          <w:ilvl w:val="0"/>
          <w:numId w:val="5"/>
        </w:numPr>
        <w:spacing w:after="0" w:afterAutospacing="0" w:before="0" w:beforeAutospacing="0" w:lineRule="auto"/>
        <w:ind w:left="720" w:hanging="360"/>
      </w:pPr>
      <w:r w:rsidDel="00000000" w:rsidR="00000000" w:rsidRPr="00000000">
        <w:rPr>
          <w:rtl w:val="0"/>
        </w:rPr>
        <w:t xml:space="preserve">the reliability of its evidential processes,</w:t>
      </w:r>
    </w:p>
    <w:p w:rsidR="00000000" w:rsidDel="00000000" w:rsidP="00000000" w:rsidRDefault="00000000" w:rsidRPr="00000000" w14:paraId="00000009">
      <w:pPr>
        <w:numPr>
          <w:ilvl w:val="0"/>
          <w:numId w:val="5"/>
        </w:numPr>
        <w:spacing w:after="0" w:afterAutospacing="0" w:before="0" w:beforeAutospacing="0" w:lineRule="auto"/>
        <w:ind w:left="720" w:hanging="360"/>
      </w:pPr>
      <w:r w:rsidDel="00000000" w:rsidR="00000000" w:rsidRPr="00000000">
        <w:rPr>
          <w:rtl w:val="0"/>
        </w:rPr>
        <w:t xml:space="preserve">the lawfulness of its decision‑making,</w:t>
      </w:r>
    </w:p>
    <w:p w:rsidR="00000000" w:rsidDel="00000000" w:rsidP="00000000" w:rsidRDefault="00000000" w:rsidRPr="00000000" w14:paraId="0000000A">
      <w:pPr>
        <w:numPr>
          <w:ilvl w:val="0"/>
          <w:numId w:val="5"/>
        </w:numPr>
        <w:spacing w:after="240" w:before="0" w:beforeAutospacing="0" w:lineRule="auto"/>
        <w:ind w:left="720" w:hanging="360"/>
      </w:pPr>
      <w:r w:rsidDel="00000000" w:rsidR="00000000" w:rsidRPr="00000000">
        <w:rPr>
          <w:rtl w:val="0"/>
        </w:rPr>
        <w:t xml:space="preserve">and the treatment of Black complainants within regulatory environments.</w:t>
      </w:r>
    </w:p>
    <w:p w:rsidR="00000000" w:rsidDel="00000000" w:rsidP="00000000" w:rsidRDefault="00000000" w:rsidRPr="00000000" w14:paraId="0000000B">
      <w:pPr>
        <w:spacing w:after="240" w:before="240" w:lineRule="auto"/>
        <w:rPr/>
      </w:pPr>
      <w:r w:rsidDel="00000000" w:rsidR="00000000" w:rsidRPr="00000000">
        <w:rPr>
          <w:rtl w:val="0"/>
        </w:rPr>
        <w:t xml:space="preserve">Despite acknowledging the defect, the SRA refused to investigate its implications and attempted to restrict escalation to internal management rather than the Independent Reviewer.</w:t>
      </w:r>
    </w:p>
    <w:p w:rsidR="00000000" w:rsidDel="00000000" w:rsidP="00000000" w:rsidRDefault="00000000" w:rsidRPr="00000000" w14:paraId="0000000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pStyle w:val="Heading3"/>
        <w:keepNext w:val="0"/>
        <w:keepLines w:val="0"/>
        <w:spacing w:before="280" w:lineRule="auto"/>
        <w:rPr>
          <w:b w:val="1"/>
          <w:bCs w:val="1"/>
          <w:color w:val="000000"/>
          <w:sz w:val="26"/>
          <w:szCs w:val="26"/>
        </w:rPr>
      </w:pPr>
      <w:bookmarkStart w:colFirst="0" w:colLast="0" w:name="_epv7fxsabgpn" w:id="2"/>
      <w:bookmarkEnd w:id="2"/>
      <w:r w:rsidDel="00000000" w:rsidR="00000000" w:rsidRPr="00000000">
        <w:rPr>
          <w:b w:val="1"/>
          <w:bCs w:val="1"/>
          <w:color w:val="000000"/>
          <w:sz w:val="26"/>
          <w:szCs w:val="26"/>
          <w:rtl w:val="0"/>
        </w:rPr>
        <w:t xml:space="preserve">1. Background to the Case</w:t>
      </w:r>
    </w:p>
    <w:p w:rsidR="00000000" w:rsidDel="00000000" w:rsidP="00000000" w:rsidRDefault="00000000" w:rsidRPr="00000000" w14:paraId="0000000E">
      <w:pPr>
        <w:spacing w:after="240" w:before="240" w:lineRule="auto"/>
        <w:rPr/>
      </w:pPr>
      <w:r w:rsidDel="00000000" w:rsidR="00000000" w:rsidRPr="00000000">
        <w:rPr>
          <w:rtl w:val="0"/>
        </w:rPr>
        <w:t xml:space="preserve">The complainant, </w:t>
      </w:r>
      <w:r w:rsidDel="00000000" w:rsidR="00000000" w:rsidRPr="00000000">
        <w:rPr>
          <w:b w:val="1"/>
          <w:bCs w:val="1"/>
          <w:rtl w:val="0"/>
        </w:rPr>
        <w:t xml:space="preserve">George T. Nomen</w:t>
      </w:r>
      <w:r w:rsidDel="00000000" w:rsidR="00000000" w:rsidRPr="00000000">
        <w:rPr>
          <w:rtl w:val="0"/>
        </w:rPr>
        <w:t xml:space="preserve">, submitted concerns to the SRA regarding solicitor conduct. The SRA issued a decision on </w:t>
      </w:r>
      <w:r w:rsidDel="00000000" w:rsidR="00000000" w:rsidRPr="00000000">
        <w:rPr>
          <w:b w:val="1"/>
          <w:bCs w:val="1"/>
          <w:rtl w:val="0"/>
        </w:rPr>
        <w:t xml:space="preserve">18 February 2026</w:t>
      </w:r>
      <w:r w:rsidDel="00000000" w:rsidR="00000000" w:rsidRPr="00000000">
        <w:rPr>
          <w:rtl w:val="0"/>
        </w:rPr>
        <w:t xml:space="preserve"> containing the following statement:</w:t>
      </w:r>
    </w:p>
    <w:p w:rsidR="00000000" w:rsidDel="00000000" w:rsidP="00000000" w:rsidRDefault="00000000" w:rsidRPr="00000000" w14:paraId="0000000F">
      <w:pPr>
        <w:spacing w:after="240" w:before="240" w:lineRule="auto"/>
        <w:ind w:left="600" w:right="600" w:firstLine="0"/>
        <w:rPr/>
      </w:pPr>
      <w:r w:rsidDel="00000000" w:rsidR="00000000" w:rsidRPr="00000000">
        <w:rPr>
          <w:rtl w:val="0"/>
        </w:rPr>
        <w:t xml:space="preserve">“On 13 November 2026, we received a report from George Nomen…”</w:t>
      </w:r>
    </w:p>
    <w:p w:rsidR="00000000" w:rsidDel="00000000" w:rsidP="00000000" w:rsidRDefault="00000000" w:rsidRPr="00000000" w14:paraId="00000010">
      <w:pPr>
        <w:spacing w:after="240" w:before="240" w:lineRule="auto"/>
        <w:rPr/>
      </w:pPr>
      <w:r w:rsidDel="00000000" w:rsidR="00000000" w:rsidRPr="00000000">
        <w:rPr>
          <w:rtl w:val="0"/>
        </w:rPr>
        <w:t xml:space="preserve">This factual impossibility undermines the decision’s legal coherence and evidential reliability.</w:t>
      </w:r>
    </w:p>
    <w:p w:rsidR="00000000" w:rsidDel="00000000" w:rsidP="00000000" w:rsidRDefault="00000000" w:rsidRPr="00000000" w14:paraId="00000011">
      <w:pPr>
        <w:spacing w:after="240" w:before="240" w:lineRule="auto"/>
        <w:rPr/>
      </w:pPr>
      <w:r w:rsidDel="00000000" w:rsidR="00000000" w:rsidRPr="00000000">
        <w:rPr>
          <w:rtl w:val="0"/>
        </w:rPr>
        <w:t xml:space="preserve">When the complainant raised the defect, the SRA responded that it was an “oversight” but insisted that the decision remained valid without conducting any investigation.</w:t>
      </w:r>
    </w:p>
    <w:p w:rsidR="00000000" w:rsidDel="00000000" w:rsidP="00000000" w:rsidRDefault="00000000" w:rsidRPr="00000000" w14:paraId="0000001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pStyle w:val="Heading3"/>
        <w:keepNext w:val="0"/>
        <w:keepLines w:val="0"/>
        <w:spacing w:before="280" w:lineRule="auto"/>
        <w:rPr>
          <w:b w:val="1"/>
          <w:bCs w:val="1"/>
          <w:color w:val="000000"/>
          <w:sz w:val="26"/>
          <w:szCs w:val="26"/>
        </w:rPr>
      </w:pPr>
      <w:bookmarkStart w:colFirst="0" w:colLast="0" w:name="_cg31bpylftis" w:id="3"/>
      <w:bookmarkEnd w:id="3"/>
      <w:r w:rsidDel="00000000" w:rsidR="00000000" w:rsidRPr="00000000">
        <w:rPr>
          <w:b w:val="1"/>
          <w:bCs w:val="1"/>
          <w:color w:val="000000"/>
          <w:sz w:val="26"/>
          <w:szCs w:val="26"/>
          <w:rtl w:val="0"/>
        </w:rPr>
        <w:t xml:space="preserve">2. Procedural Integrity Concerns</w:t>
      </w:r>
    </w:p>
    <w:p w:rsidR="00000000" w:rsidDel="00000000" w:rsidP="00000000" w:rsidRDefault="00000000" w:rsidRPr="00000000" w14:paraId="00000014">
      <w:pPr>
        <w:spacing w:after="240" w:before="240" w:lineRule="auto"/>
        <w:rPr/>
      </w:pPr>
      <w:r w:rsidDel="00000000" w:rsidR="00000000" w:rsidRPr="00000000">
        <w:rPr>
          <w:rtl w:val="0"/>
        </w:rPr>
        <w:t xml:space="preserve">Black Justice identifies the following procedural failures:</w:t>
      </w:r>
    </w:p>
    <w:p w:rsidR="00000000" w:rsidDel="00000000" w:rsidP="00000000" w:rsidRDefault="00000000" w:rsidRPr="00000000" w14:paraId="00000015">
      <w:pPr>
        <w:numPr>
          <w:ilvl w:val="0"/>
          <w:numId w:val="3"/>
        </w:numPr>
        <w:spacing w:after="0" w:afterAutospacing="0" w:before="240" w:lineRule="auto"/>
        <w:ind w:left="720" w:hanging="360"/>
      </w:pPr>
      <w:r w:rsidDel="00000000" w:rsidR="00000000" w:rsidRPr="00000000">
        <w:rPr>
          <w:b w:val="1"/>
          <w:bCs w:val="1"/>
          <w:rtl w:val="0"/>
        </w:rPr>
        <w:t xml:space="preserve">Temporal collapse</w:t>
      </w:r>
      <w:r w:rsidDel="00000000" w:rsidR="00000000" w:rsidRPr="00000000">
        <w:rPr>
          <w:rtl w:val="0"/>
        </w:rPr>
        <w:t xml:space="preserve"> — the decision cannot be situated within a lawful chronology.</w:t>
      </w:r>
    </w:p>
    <w:p w:rsidR="00000000" w:rsidDel="00000000" w:rsidP="00000000" w:rsidRDefault="00000000" w:rsidRPr="00000000" w14:paraId="00000016">
      <w:pPr>
        <w:numPr>
          <w:ilvl w:val="0"/>
          <w:numId w:val="3"/>
        </w:numPr>
        <w:spacing w:after="0" w:afterAutospacing="0" w:before="0" w:beforeAutospacing="0" w:lineRule="auto"/>
        <w:ind w:left="720" w:hanging="360"/>
      </w:pPr>
      <w:r w:rsidDel="00000000" w:rsidR="00000000" w:rsidRPr="00000000">
        <w:rPr>
          <w:b w:val="1"/>
          <w:bCs w:val="1"/>
          <w:rtl w:val="0"/>
        </w:rPr>
        <w:t xml:space="preserve">Evidential chain failure</w:t>
      </w:r>
      <w:r w:rsidDel="00000000" w:rsidR="00000000" w:rsidRPr="00000000">
        <w:rPr>
          <w:rtl w:val="0"/>
        </w:rPr>
        <w:t xml:space="preserve"> — it is unclear whether the correct complaint or evidence was assessed.</w:t>
      </w:r>
    </w:p>
    <w:p w:rsidR="00000000" w:rsidDel="00000000" w:rsidP="00000000" w:rsidRDefault="00000000" w:rsidRPr="00000000" w14:paraId="00000017">
      <w:pPr>
        <w:numPr>
          <w:ilvl w:val="0"/>
          <w:numId w:val="3"/>
        </w:numPr>
        <w:spacing w:after="0" w:afterAutospacing="0" w:before="0" w:beforeAutospacing="0" w:lineRule="auto"/>
        <w:ind w:left="720" w:hanging="360"/>
      </w:pPr>
      <w:r w:rsidDel="00000000" w:rsidR="00000000" w:rsidRPr="00000000">
        <w:rPr>
          <w:b w:val="1"/>
          <w:bCs w:val="1"/>
          <w:rtl w:val="0"/>
        </w:rPr>
        <w:t xml:space="preserve">Absence of investigation</w:t>
      </w:r>
      <w:r w:rsidDel="00000000" w:rsidR="00000000" w:rsidRPr="00000000">
        <w:rPr>
          <w:rtl w:val="0"/>
        </w:rPr>
        <w:t xml:space="preserve"> — no logs, timestamps, or version histories were reviewed.</w:t>
      </w:r>
    </w:p>
    <w:p w:rsidR="00000000" w:rsidDel="00000000" w:rsidP="00000000" w:rsidRDefault="00000000" w:rsidRPr="00000000" w14:paraId="00000018">
      <w:pPr>
        <w:numPr>
          <w:ilvl w:val="0"/>
          <w:numId w:val="3"/>
        </w:numPr>
        <w:spacing w:after="0" w:afterAutospacing="0" w:before="0" w:beforeAutospacing="0" w:lineRule="auto"/>
        <w:ind w:left="720" w:hanging="360"/>
      </w:pPr>
      <w:r w:rsidDel="00000000" w:rsidR="00000000" w:rsidRPr="00000000">
        <w:rPr>
          <w:b w:val="1"/>
          <w:bCs w:val="1"/>
          <w:rtl w:val="0"/>
        </w:rPr>
        <w:t xml:space="preserve">Irrational assertion of validity</w:t>
      </w:r>
      <w:r w:rsidDel="00000000" w:rsidR="00000000" w:rsidRPr="00000000">
        <w:rPr>
          <w:rtl w:val="0"/>
        </w:rPr>
        <w:t xml:space="preserve"> — the SRA claimed the decision was sound without examining the file.</w:t>
      </w:r>
    </w:p>
    <w:p w:rsidR="00000000" w:rsidDel="00000000" w:rsidP="00000000" w:rsidRDefault="00000000" w:rsidRPr="00000000" w14:paraId="00000019">
      <w:pPr>
        <w:numPr>
          <w:ilvl w:val="0"/>
          <w:numId w:val="3"/>
        </w:numPr>
        <w:spacing w:after="240" w:before="0" w:beforeAutospacing="0" w:lineRule="auto"/>
        <w:ind w:left="720" w:hanging="360"/>
      </w:pPr>
      <w:r w:rsidDel="00000000" w:rsidR="00000000" w:rsidRPr="00000000">
        <w:rPr>
          <w:b w:val="1"/>
          <w:bCs w:val="1"/>
          <w:rtl w:val="0"/>
        </w:rPr>
        <w:t xml:space="preserve">Gatekeeping escalation</w:t>
      </w:r>
      <w:r w:rsidDel="00000000" w:rsidR="00000000" w:rsidRPr="00000000">
        <w:rPr>
          <w:rtl w:val="0"/>
        </w:rPr>
        <w:t xml:space="preserve"> — the SRA attempted to restrict access to the Independent Reviewer.</w:t>
      </w:r>
    </w:p>
    <w:p w:rsidR="00000000" w:rsidDel="00000000" w:rsidP="00000000" w:rsidRDefault="00000000" w:rsidRPr="00000000" w14:paraId="0000001A">
      <w:pPr>
        <w:spacing w:after="240" w:before="240" w:lineRule="auto"/>
        <w:rPr/>
      </w:pPr>
      <w:r w:rsidDel="00000000" w:rsidR="00000000" w:rsidRPr="00000000">
        <w:rPr>
          <w:rtl w:val="0"/>
        </w:rPr>
        <w:t xml:space="preserve">These failures collectively undermine public confidence in regulatory decision‑making.</w:t>
      </w:r>
    </w:p>
    <w:p w:rsidR="00000000" w:rsidDel="00000000" w:rsidP="00000000" w:rsidRDefault="00000000" w:rsidRPr="00000000" w14:paraId="0000001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C">
      <w:pPr>
        <w:pStyle w:val="Heading3"/>
        <w:keepNext w:val="0"/>
        <w:keepLines w:val="0"/>
        <w:spacing w:before="280" w:lineRule="auto"/>
        <w:rPr>
          <w:b w:val="1"/>
          <w:bCs w:val="1"/>
          <w:color w:val="000000"/>
          <w:sz w:val="26"/>
          <w:szCs w:val="26"/>
        </w:rPr>
      </w:pPr>
      <w:bookmarkStart w:colFirst="0" w:colLast="0" w:name="_z38yg6maoaci" w:id="4"/>
      <w:bookmarkEnd w:id="4"/>
      <w:r w:rsidDel="00000000" w:rsidR="00000000" w:rsidRPr="00000000">
        <w:rPr>
          <w:b w:val="1"/>
          <w:bCs w:val="1"/>
          <w:color w:val="000000"/>
          <w:sz w:val="26"/>
          <w:szCs w:val="26"/>
          <w:rtl w:val="0"/>
        </w:rPr>
        <w:t xml:space="preserve">3. Equality and Racialised Administrative Behaviour</w:t>
      </w:r>
    </w:p>
    <w:p w:rsidR="00000000" w:rsidDel="00000000" w:rsidP="00000000" w:rsidRDefault="00000000" w:rsidRPr="00000000" w14:paraId="0000001D">
      <w:pPr>
        <w:spacing w:after="240" w:before="240" w:lineRule="auto"/>
        <w:rPr/>
      </w:pPr>
      <w:r w:rsidDel="00000000" w:rsidR="00000000" w:rsidRPr="00000000">
        <w:rPr>
          <w:rtl w:val="0"/>
        </w:rPr>
        <w:t xml:space="preserve">Black Justice notes a pattern consistent with </w:t>
      </w:r>
      <w:r w:rsidDel="00000000" w:rsidR="00000000" w:rsidRPr="00000000">
        <w:rPr>
          <w:b w:val="1"/>
          <w:bCs w:val="1"/>
          <w:rtl w:val="0"/>
        </w:rPr>
        <w:t xml:space="preserve">racialised administrative minimisation</w:t>
      </w:r>
      <w:r w:rsidDel="00000000" w:rsidR="00000000" w:rsidRPr="00000000">
        <w:rPr>
          <w:rtl w:val="0"/>
        </w:rPr>
        <w:t xml:space="preserve">, including:</w:t>
      </w:r>
    </w:p>
    <w:p w:rsidR="00000000" w:rsidDel="00000000" w:rsidP="00000000" w:rsidRDefault="00000000" w:rsidRPr="00000000" w14:paraId="0000001E">
      <w:pPr>
        <w:numPr>
          <w:ilvl w:val="0"/>
          <w:numId w:val="1"/>
        </w:numPr>
        <w:spacing w:after="0" w:afterAutospacing="0" w:before="240" w:lineRule="auto"/>
        <w:ind w:left="720" w:hanging="360"/>
      </w:pPr>
      <w:r w:rsidDel="00000000" w:rsidR="00000000" w:rsidRPr="00000000">
        <w:rPr>
          <w:rtl w:val="0"/>
        </w:rPr>
        <w:t xml:space="preserve">trivialising a structural defect raised by a Black complainant,</w:t>
      </w:r>
    </w:p>
    <w:p w:rsidR="00000000" w:rsidDel="00000000" w:rsidP="00000000" w:rsidRDefault="00000000" w:rsidRPr="00000000" w14:paraId="0000001F">
      <w:pPr>
        <w:numPr>
          <w:ilvl w:val="0"/>
          <w:numId w:val="1"/>
        </w:numPr>
        <w:spacing w:after="0" w:afterAutospacing="0" w:before="0" w:beforeAutospacing="0" w:lineRule="auto"/>
        <w:ind w:left="720" w:hanging="360"/>
      </w:pPr>
      <w:r w:rsidDel="00000000" w:rsidR="00000000" w:rsidRPr="00000000">
        <w:rPr>
          <w:rtl w:val="0"/>
        </w:rPr>
        <w:t xml:space="preserve">reversing the burden by implying the complainant is unreasonable,</w:t>
      </w:r>
    </w:p>
    <w:p w:rsidR="00000000" w:rsidDel="00000000" w:rsidP="00000000" w:rsidRDefault="00000000" w:rsidRPr="00000000" w14:paraId="00000020">
      <w:pPr>
        <w:numPr>
          <w:ilvl w:val="0"/>
          <w:numId w:val="1"/>
        </w:numPr>
        <w:spacing w:after="0" w:afterAutospacing="0" w:before="0" w:beforeAutospacing="0" w:lineRule="auto"/>
        <w:ind w:left="720" w:hanging="360"/>
      </w:pPr>
      <w:r w:rsidDel="00000000" w:rsidR="00000000" w:rsidRPr="00000000">
        <w:rPr>
          <w:rtl w:val="0"/>
        </w:rPr>
        <w:t xml:space="preserve">gatekeeping escalation routes,</w:t>
      </w:r>
    </w:p>
    <w:p w:rsidR="00000000" w:rsidDel="00000000" w:rsidP="00000000" w:rsidRDefault="00000000" w:rsidRPr="00000000" w14:paraId="00000021">
      <w:pPr>
        <w:numPr>
          <w:ilvl w:val="0"/>
          <w:numId w:val="1"/>
        </w:numPr>
        <w:spacing w:after="240" w:before="0" w:beforeAutospacing="0" w:lineRule="auto"/>
        <w:ind w:left="720" w:hanging="360"/>
      </w:pPr>
      <w:r w:rsidDel="00000000" w:rsidR="00000000" w:rsidRPr="00000000">
        <w:rPr>
          <w:rtl w:val="0"/>
        </w:rPr>
        <w:t xml:space="preserve">prioritising institutional self‑protection over fairness.</w:t>
      </w:r>
    </w:p>
    <w:p w:rsidR="00000000" w:rsidDel="00000000" w:rsidP="00000000" w:rsidRDefault="00000000" w:rsidRPr="00000000" w14:paraId="00000022">
      <w:pPr>
        <w:spacing w:after="240" w:before="240" w:lineRule="auto"/>
        <w:rPr/>
      </w:pPr>
      <w:r w:rsidDel="00000000" w:rsidR="00000000" w:rsidRPr="00000000">
        <w:rPr>
          <w:rtl w:val="0"/>
        </w:rPr>
        <w:t xml:space="preserve">This pattern has a </w:t>
      </w:r>
      <w:r w:rsidDel="00000000" w:rsidR="00000000" w:rsidRPr="00000000">
        <w:rPr>
          <w:b w:val="1"/>
          <w:bCs w:val="1"/>
          <w:rtl w:val="0"/>
        </w:rPr>
        <w:t xml:space="preserve">discriminatory impact</w:t>
      </w:r>
      <w:r w:rsidDel="00000000" w:rsidR="00000000" w:rsidRPr="00000000">
        <w:rPr>
          <w:rtl w:val="0"/>
        </w:rPr>
        <w:t xml:space="preserve"> under the Equality Act 2010, regardless of intent.</w:t>
      </w:r>
    </w:p>
    <w:p w:rsidR="00000000" w:rsidDel="00000000" w:rsidP="00000000" w:rsidRDefault="00000000" w:rsidRPr="00000000" w14:paraId="000000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pStyle w:val="Heading3"/>
        <w:keepNext w:val="0"/>
        <w:keepLines w:val="0"/>
        <w:spacing w:before="280" w:lineRule="auto"/>
        <w:rPr>
          <w:b w:val="1"/>
          <w:bCs w:val="1"/>
          <w:color w:val="000000"/>
          <w:sz w:val="26"/>
          <w:szCs w:val="26"/>
        </w:rPr>
      </w:pPr>
      <w:bookmarkStart w:colFirst="0" w:colLast="0" w:name="_v002q1ezgy31" w:id="5"/>
      <w:bookmarkEnd w:id="5"/>
      <w:r w:rsidDel="00000000" w:rsidR="00000000" w:rsidRPr="00000000">
        <w:rPr>
          <w:b w:val="1"/>
          <w:bCs w:val="1"/>
          <w:color w:val="000000"/>
          <w:sz w:val="26"/>
          <w:szCs w:val="26"/>
          <w:rtl w:val="0"/>
        </w:rPr>
        <w:t xml:space="preserve">4. Doctrinal Findings</w:t>
      </w:r>
    </w:p>
    <w:p w:rsidR="00000000" w:rsidDel="00000000" w:rsidP="00000000" w:rsidRDefault="00000000" w:rsidRPr="00000000" w14:paraId="00000025">
      <w:pPr>
        <w:spacing w:after="240" w:before="240" w:lineRule="auto"/>
        <w:rPr/>
      </w:pPr>
      <w:r w:rsidDel="00000000" w:rsidR="00000000" w:rsidRPr="00000000">
        <w:rPr>
          <w:rtl w:val="0"/>
        </w:rPr>
        <w:t xml:space="preserve">Black Justice’s doctrinal analysis concludes:</w:t>
      </w:r>
    </w:p>
    <w:p w:rsidR="00000000" w:rsidDel="00000000" w:rsidP="00000000" w:rsidRDefault="00000000" w:rsidRPr="00000000" w14:paraId="00000026">
      <w:pPr>
        <w:numPr>
          <w:ilvl w:val="0"/>
          <w:numId w:val="4"/>
        </w:numPr>
        <w:spacing w:after="0" w:afterAutospacing="0" w:before="240" w:lineRule="auto"/>
        <w:ind w:left="720" w:hanging="360"/>
      </w:pPr>
      <w:r w:rsidDel="00000000" w:rsidR="00000000" w:rsidRPr="00000000">
        <w:rPr>
          <w:rtl w:val="0"/>
        </w:rPr>
        <w:t xml:space="preserve">The decision is </w:t>
      </w:r>
      <w:r w:rsidDel="00000000" w:rsidR="00000000" w:rsidRPr="00000000">
        <w:rPr>
          <w:b w:val="1"/>
          <w:bCs w:val="1"/>
          <w:rtl w:val="0"/>
        </w:rPr>
        <w:t xml:space="preserve">voidable</w:t>
      </w:r>
      <w:r w:rsidDel="00000000" w:rsidR="00000000" w:rsidRPr="00000000">
        <w:rPr>
          <w:rtl w:val="0"/>
        </w:rPr>
        <w:t xml:space="preserve"> due to procedural unfairness.</w:t>
      </w:r>
    </w:p>
    <w:p w:rsidR="00000000" w:rsidDel="00000000" w:rsidP="00000000" w:rsidRDefault="00000000" w:rsidRPr="00000000" w14:paraId="00000027">
      <w:pPr>
        <w:numPr>
          <w:ilvl w:val="0"/>
          <w:numId w:val="4"/>
        </w:numPr>
        <w:spacing w:after="0" w:afterAutospacing="0" w:before="0" w:beforeAutospacing="0" w:lineRule="auto"/>
        <w:ind w:left="720" w:hanging="360"/>
      </w:pPr>
      <w:r w:rsidDel="00000000" w:rsidR="00000000" w:rsidRPr="00000000">
        <w:rPr>
          <w:rtl w:val="0"/>
        </w:rPr>
        <w:t xml:space="preserve">The refusal to investigate is </w:t>
      </w:r>
      <w:r w:rsidDel="00000000" w:rsidR="00000000" w:rsidRPr="00000000">
        <w:rPr>
          <w:b w:val="1"/>
          <w:bCs w:val="1"/>
          <w:rtl w:val="0"/>
        </w:rPr>
        <w:t xml:space="preserve">Wednesbury irrational</w:t>
      </w:r>
      <w:r w:rsidDel="00000000" w:rsidR="00000000" w:rsidRPr="00000000">
        <w:rPr>
          <w:rtl w:val="0"/>
        </w:rPr>
        <w:t xml:space="preserve">.</w:t>
      </w:r>
    </w:p>
    <w:p w:rsidR="00000000" w:rsidDel="00000000" w:rsidP="00000000" w:rsidRDefault="00000000" w:rsidRPr="00000000" w14:paraId="00000028">
      <w:pPr>
        <w:numPr>
          <w:ilvl w:val="0"/>
          <w:numId w:val="4"/>
        </w:numPr>
        <w:spacing w:after="0" w:afterAutospacing="0" w:before="0" w:beforeAutospacing="0" w:lineRule="auto"/>
        <w:ind w:left="720" w:hanging="360"/>
      </w:pPr>
      <w:r w:rsidDel="00000000" w:rsidR="00000000" w:rsidRPr="00000000">
        <w:rPr>
          <w:rtl w:val="0"/>
        </w:rPr>
        <w:t xml:space="preserve">The attempt to block escalation is a </w:t>
      </w:r>
      <w:r w:rsidDel="00000000" w:rsidR="00000000" w:rsidRPr="00000000">
        <w:rPr>
          <w:b w:val="1"/>
          <w:bCs w:val="1"/>
          <w:rtl w:val="0"/>
        </w:rPr>
        <w:t xml:space="preserve">misdirection of statutory power</w:t>
      </w:r>
      <w:r w:rsidDel="00000000" w:rsidR="00000000" w:rsidRPr="00000000">
        <w:rPr>
          <w:rtl w:val="0"/>
        </w:rPr>
        <w:t xml:space="preserve">.</w:t>
      </w:r>
    </w:p>
    <w:p w:rsidR="00000000" w:rsidDel="00000000" w:rsidP="00000000" w:rsidRDefault="00000000" w:rsidRPr="00000000" w14:paraId="00000029">
      <w:pPr>
        <w:numPr>
          <w:ilvl w:val="0"/>
          <w:numId w:val="4"/>
        </w:numPr>
        <w:spacing w:after="240" w:before="0" w:beforeAutospacing="0" w:lineRule="auto"/>
        <w:ind w:left="720" w:hanging="360"/>
      </w:pPr>
      <w:r w:rsidDel="00000000" w:rsidR="00000000" w:rsidRPr="00000000">
        <w:rPr>
          <w:rtl w:val="0"/>
        </w:rPr>
        <w:t xml:space="preserve">The equality implications require scrutiny by the Independent Reviewer.</w:t>
      </w:r>
    </w:p>
    <w:p w:rsidR="00000000" w:rsidDel="00000000" w:rsidP="00000000" w:rsidRDefault="00000000" w:rsidRPr="00000000" w14:paraId="0000002A">
      <w:pPr>
        <w:spacing w:after="240" w:before="240" w:lineRule="auto"/>
        <w:rPr/>
      </w:pPr>
      <w:r w:rsidDel="00000000" w:rsidR="00000000" w:rsidRPr="00000000">
        <w:rPr>
          <w:rtl w:val="0"/>
        </w:rPr>
        <w:t xml:space="preserve">These findings are preserved in the Black Justice Doctrinal Archive (Entries 47A/2026 and 47B/2026).</w:t>
      </w:r>
    </w:p>
    <w:p w:rsidR="00000000" w:rsidDel="00000000" w:rsidP="00000000" w:rsidRDefault="00000000" w:rsidRPr="00000000" w14:paraId="000000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C">
      <w:pPr>
        <w:pStyle w:val="Heading3"/>
        <w:keepNext w:val="0"/>
        <w:keepLines w:val="0"/>
        <w:spacing w:before="280" w:lineRule="auto"/>
        <w:rPr>
          <w:b w:val="1"/>
          <w:bCs w:val="1"/>
          <w:color w:val="000000"/>
          <w:sz w:val="26"/>
          <w:szCs w:val="26"/>
        </w:rPr>
      </w:pPr>
      <w:bookmarkStart w:colFirst="0" w:colLast="0" w:name="_kr2aque5ebqd" w:id="6"/>
      <w:bookmarkEnd w:id="6"/>
      <w:r w:rsidDel="00000000" w:rsidR="00000000" w:rsidRPr="00000000">
        <w:rPr>
          <w:b w:val="1"/>
          <w:bCs w:val="1"/>
          <w:color w:val="000000"/>
          <w:sz w:val="26"/>
          <w:szCs w:val="26"/>
          <w:rtl w:val="0"/>
        </w:rPr>
        <w:t xml:space="preserve">5. Public‑Interest Implications</w:t>
      </w:r>
    </w:p>
    <w:p w:rsidR="00000000" w:rsidDel="00000000" w:rsidP="00000000" w:rsidRDefault="00000000" w:rsidRPr="00000000" w14:paraId="0000002D">
      <w:pPr>
        <w:spacing w:after="240" w:before="240" w:lineRule="auto"/>
        <w:rPr/>
      </w:pPr>
      <w:r w:rsidDel="00000000" w:rsidR="00000000" w:rsidRPr="00000000">
        <w:rPr>
          <w:rtl w:val="0"/>
        </w:rPr>
        <w:t xml:space="preserve">This case raises broader concerns about:</w:t>
      </w:r>
    </w:p>
    <w:p w:rsidR="00000000" w:rsidDel="00000000" w:rsidP="00000000" w:rsidRDefault="00000000" w:rsidRPr="00000000" w14:paraId="0000002E">
      <w:pPr>
        <w:numPr>
          <w:ilvl w:val="0"/>
          <w:numId w:val="6"/>
        </w:numPr>
        <w:spacing w:after="0" w:afterAutospacing="0" w:before="240" w:lineRule="auto"/>
        <w:ind w:left="720" w:hanging="360"/>
      </w:pPr>
      <w:r w:rsidDel="00000000" w:rsidR="00000000" w:rsidRPr="00000000">
        <w:rPr>
          <w:rtl w:val="0"/>
        </w:rPr>
        <w:t xml:space="preserve">the reliability of regulatory record‑keeping,</w:t>
      </w:r>
    </w:p>
    <w:p w:rsidR="00000000" w:rsidDel="00000000" w:rsidP="00000000" w:rsidRDefault="00000000" w:rsidRPr="00000000" w14:paraId="0000002F">
      <w:pPr>
        <w:numPr>
          <w:ilvl w:val="0"/>
          <w:numId w:val="6"/>
        </w:numPr>
        <w:spacing w:after="0" w:afterAutospacing="0" w:before="0" w:beforeAutospacing="0" w:lineRule="auto"/>
        <w:ind w:left="720" w:hanging="360"/>
      </w:pPr>
      <w:r w:rsidDel="00000000" w:rsidR="00000000" w:rsidRPr="00000000">
        <w:rPr>
          <w:rtl w:val="0"/>
        </w:rPr>
        <w:t xml:space="preserve">the possibility of template‑generated or premature decisions,</w:t>
      </w:r>
    </w:p>
    <w:p w:rsidR="00000000" w:rsidDel="00000000" w:rsidP="00000000" w:rsidRDefault="00000000" w:rsidRPr="00000000" w14:paraId="00000030">
      <w:pPr>
        <w:numPr>
          <w:ilvl w:val="0"/>
          <w:numId w:val="6"/>
        </w:numPr>
        <w:spacing w:after="0" w:afterAutospacing="0" w:before="0" w:beforeAutospacing="0" w:lineRule="auto"/>
        <w:ind w:left="720" w:hanging="360"/>
      </w:pPr>
      <w:r w:rsidDel="00000000" w:rsidR="00000000" w:rsidRPr="00000000">
        <w:rPr>
          <w:rtl w:val="0"/>
        </w:rPr>
        <w:t xml:space="preserve">the vulnerability of Black complainants to procedural minimisation,</w:t>
      </w:r>
    </w:p>
    <w:p w:rsidR="00000000" w:rsidDel="00000000" w:rsidP="00000000" w:rsidRDefault="00000000" w:rsidRPr="00000000" w14:paraId="00000031">
      <w:pPr>
        <w:numPr>
          <w:ilvl w:val="0"/>
          <w:numId w:val="6"/>
        </w:numPr>
        <w:spacing w:after="240" w:before="0" w:beforeAutospacing="0" w:lineRule="auto"/>
        <w:ind w:left="720" w:hanging="360"/>
      </w:pPr>
      <w:r w:rsidDel="00000000" w:rsidR="00000000" w:rsidRPr="00000000">
        <w:rPr>
          <w:rtl w:val="0"/>
        </w:rPr>
        <w:t xml:space="preserve">and the need for independent oversight mechanisms to function without obstruction.</w:t>
      </w:r>
    </w:p>
    <w:p w:rsidR="00000000" w:rsidDel="00000000" w:rsidP="00000000" w:rsidRDefault="00000000" w:rsidRPr="00000000" w14:paraId="00000032">
      <w:pPr>
        <w:spacing w:after="240" w:before="240" w:lineRule="auto"/>
        <w:rPr/>
      </w:pPr>
      <w:r w:rsidDel="00000000" w:rsidR="00000000" w:rsidRPr="00000000">
        <w:rPr>
          <w:rtl w:val="0"/>
        </w:rPr>
        <w:t xml:space="preserve">Black Justice considers this incident a matter of public interest requiring transparent scrutiny.</w:t>
      </w:r>
    </w:p>
    <w:p w:rsidR="00000000" w:rsidDel="00000000" w:rsidP="00000000" w:rsidRDefault="00000000" w:rsidRPr="00000000" w14:paraId="0000003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pStyle w:val="Heading3"/>
        <w:keepNext w:val="0"/>
        <w:keepLines w:val="0"/>
        <w:spacing w:before="280" w:lineRule="auto"/>
        <w:rPr>
          <w:b w:val="1"/>
          <w:bCs w:val="1"/>
          <w:color w:val="000000"/>
          <w:sz w:val="26"/>
          <w:szCs w:val="26"/>
        </w:rPr>
      </w:pPr>
      <w:bookmarkStart w:colFirst="0" w:colLast="0" w:name="_46d3u0veh81k" w:id="7"/>
      <w:bookmarkEnd w:id="7"/>
      <w:r w:rsidDel="00000000" w:rsidR="00000000" w:rsidRPr="00000000">
        <w:rPr>
          <w:b w:val="1"/>
          <w:bCs w:val="1"/>
          <w:color w:val="000000"/>
          <w:sz w:val="26"/>
          <w:szCs w:val="26"/>
          <w:rtl w:val="0"/>
        </w:rPr>
        <w:t xml:space="preserve">6. Recommendations</w:t>
      </w:r>
    </w:p>
    <w:p w:rsidR="00000000" w:rsidDel="00000000" w:rsidP="00000000" w:rsidRDefault="00000000" w:rsidRPr="00000000" w14:paraId="00000035">
      <w:pPr>
        <w:spacing w:after="240" w:before="240" w:lineRule="auto"/>
        <w:rPr/>
      </w:pPr>
      <w:r w:rsidDel="00000000" w:rsidR="00000000" w:rsidRPr="00000000">
        <w:rPr>
          <w:rtl w:val="0"/>
        </w:rPr>
        <w:t xml:space="preserve">Black Justice calls for:</w:t>
      </w:r>
    </w:p>
    <w:p w:rsidR="00000000" w:rsidDel="00000000" w:rsidP="00000000" w:rsidRDefault="00000000" w:rsidRPr="00000000" w14:paraId="00000036">
      <w:pPr>
        <w:numPr>
          <w:ilvl w:val="0"/>
          <w:numId w:val="2"/>
        </w:numPr>
        <w:spacing w:after="0" w:afterAutospacing="0" w:before="240" w:lineRule="auto"/>
        <w:ind w:left="720" w:hanging="360"/>
      </w:pPr>
      <w:r w:rsidDel="00000000" w:rsidR="00000000" w:rsidRPr="00000000">
        <w:rPr>
          <w:rtl w:val="0"/>
        </w:rPr>
        <w:t xml:space="preserve">a full independent review of the case,</w:t>
      </w:r>
    </w:p>
    <w:p w:rsidR="00000000" w:rsidDel="00000000" w:rsidP="00000000" w:rsidRDefault="00000000" w:rsidRPr="00000000" w14:paraId="00000037">
      <w:pPr>
        <w:numPr>
          <w:ilvl w:val="0"/>
          <w:numId w:val="2"/>
        </w:numPr>
        <w:spacing w:after="0" w:afterAutospacing="0" w:before="0" w:beforeAutospacing="0" w:lineRule="auto"/>
        <w:ind w:left="720" w:hanging="360"/>
      </w:pPr>
      <w:r w:rsidDel="00000000" w:rsidR="00000000" w:rsidRPr="00000000">
        <w:rPr>
          <w:rtl w:val="0"/>
        </w:rPr>
        <w:t xml:space="preserve">disclosure of the case‑handling log, version history, and evidence‑access timestamps,</w:t>
      </w:r>
    </w:p>
    <w:p w:rsidR="00000000" w:rsidDel="00000000" w:rsidP="00000000" w:rsidRDefault="00000000" w:rsidRPr="00000000" w14:paraId="00000038">
      <w:pPr>
        <w:numPr>
          <w:ilvl w:val="0"/>
          <w:numId w:val="2"/>
        </w:numPr>
        <w:spacing w:after="0" w:afterAutospacing="0" w:before="0" w:beforeAutospacing="0" w:lineRule="auto"/>
        <w:ind w:left="720" w:hanging="360"/>
      </w:pPr>
      <w:r w:rsidDel="00000000" w:rsidR="00000000" w:rsidRPr="00000000">
        <w:rPr>
          <w:rtl w:val="0"/>
        </w:rPr>
        <w:t xml:space="preserve">withdrawal and reassessment of the decision by an uninvolved officer,</w:t>
      </w:r>
    </w:p>
    <w:p w:rsidR="00000000" w:rsidDel="00000000" w:rsidP="00000000" w:rsidRDefault="00000000" w:rsidRPr="00000000" w14:paraId="00000039">
      <w:pPr>
        <w:numPr>
          <w:ilvl w:val="0"/>
          <w:numId w:val="2"/>
        </w:numPr>
        <w:spacing w:after="240" w:before="0" w:beforeAutospacing="0" w:lineRule="auto"/>
        <w:ind w:left="720" w:hanging="360"/>
      </w:pPr>
      <w:r w:rsidDel="00000000" w:rsidR="00000000" w:rsidRPr="00000000">
        <w:rPr>
          <w:rtl w:val="0"/>
        </w:rPr>
        <w:t xml:space="preserve">and equality‑impact evaluation of the SRA’s response.</w:t>
      </w:r>
    </w:p>
    <w:p w:rsidR="00000000" w:rsidDel="00000000" w:rsidP="00000000" w:rsidRDefault="00000000" w:rsidRPr="00000000" w14:paraId="0000003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B">
      <w:pPr>
        <w:pStyle w:val="Heading3"/>
        <w:keepNext w:val="0"/>
        <w:keepLines w:val="0"/>
        <w:spacing w:before="280" w:lineRule="auto"/>
        <w:rPr>
          <w:b w:val="1"/>
          <w:bCs w:val="1"/>
          <w:color w:val="000000"/>
          <w:sz w:val="26"/>
          <w:szCs w:val="26"/>
        </w:rPr>
      </w:pPr>
      <w:bookmarkStart w:colFirst="0" w:colLast="0" w:name="_sdi2ectgi0g2" w:id="8"/>
      <w:bookmarkEnd w:id="8"/>
      <w:r w:rsidDel="00000000" w:rsidR="00000000" w:rsidRPr="00000000">
        <w:rPr>
          <w:b w:val="1"/>
          <w:bCs w:val="1"/>
          <w:color w:val="000000"/>
          <w:sz w:val="26"/>
          <w:szCs w:val="26"/>
          <w:rtl w:val="0"/>
        </w:rPr>
        <w:t xml:space="preserve">7. Conclusion</w:t>
      </w:r>
    </w:p>
    <w:p w:rsidR="00000000" w:rsidDel="00000000" w:rsidP="00000000" w:rsidRDefault="00000000" w:rsidRPr="00000000" w14:paraId="0000003C">
      <w:pPr>
        <w:spacing w:after="240" w:before="240" w:lineRule="auto"/>
        <w:rPr/>
      </w:pPr>
      <w:r w:rsidDel="00000000" w:rsidR="00000000" w:rsidRPr="00000000">
        <w:rPr>
          <w:rtl w:val="0"/>
        </w:rPr>
        <w:t xml:space="preserve">This publication forms part of Black Justice’s ongoing work to document, analyse, and challenge procedural failures within regulatory systems, particularly where they intersect with race. The integrity of legal regulation depends on accurate records, lawful processes, and equitable treatment of all complainants.</w:t>
      </w:r>
    </w:p>
    <w:p w:rsidR="00000000" w:rsidDel="00000000" w:rsidP="00000000" w:rsidRDefault="00000000" w:rsidRPr="00000000" w14:paraId="0000003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