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a52q32g3gbqz" w:id="0"/>
      <w:bookmarkEnd w:id="0"/>
      <w:r w:rsidDel="00000000" w:rsidR="00000000" w:rsidRPr="00000000">
        <w:rPr>
          <w:b w:val="1"/>
          <w:bCs w:val="1"/>
          <w:sz w:val="46"/>
          <w:szCs w:val="46"/>
          <w:rtl w:val="0"/>
        </w:rPr>
        <w:t xml:space="preserve">PRESS RELEASE</w:t>
      </w:r>
    </w:p>
    <w:p w:rsidR="00000000" w:rsidDel="00000000" w:rsidP="00000000" w:rsidRDefault="00000000" w:rsidRPr="00000000" w14:paraId="00000002">
      <w:pPr>
        <w:spacing w:after="240" w:before="240" w:lineRule="auto"/>
        <w:rPr>
          <w:b w:val="1"/>
          <w:bCs w:val="1"/>
          <w:sz w:val="24"/>
          <w:szCs w:val="24"/>
        </w:rPr>
      </w:pPr>
      <w:r w:rsidDel="00000000" w:rsidR="00000000" w:rsidRPr="00000000">
        <w:rPr>
          <w:b w:val="1"/>
          <w:bCs w:val="1"/>
          <w:sz w:val="24"/>
          <w:szCs w:val="24"/>
          <w:rtl w:val="0"/>
        </w:rPr>
        <w:t xml:space="preserve">For Immediate Release</w:t>
        <w:br w:type="textWrapping"/>
      </w:r>
      <w:r w:rsidDel="00000000" w:rsidR="00000000" w:rsidRPr="00000000">
        <w:rPr>
          <w:sz w:val="24"/>
          <w:szCs w:val="24"/>
          <w:rtl w:val="0"/>
        </w:rPr>
        <w:t xml:space="preserve"> </w:t>
      </w:r>
      <w:r w:rsidDel="00000000" w:rsidR="00000000" w:rsidRPr="00000000">
        <w:rPr>
          <w:b w:val="1"/>
          <w:bCs w:val="1"/>
          <w:sz w:val="24"/>
          <w:szCs w:val="24"/>
          <w:rtl w:val="0"/>
        </w:rPr>
        <w:t xml:space="preserve">Black Justice Research Centre, London</w:t>
        <w:br w:type="textWrapping"/>
      </w:r>
      <w:r w:rsidDel="00000000" w:rsidR="00000000" w:rsidRPr="00000000">
        <w:rPr>
          <w:sz w:val="24"/>
          <w:szCs w:val="24"/>
          <w:rtl w:val="0"/>
        </w:rPr>
        <w:t xml:space="preserve"> </w:t>
      </w:r>
      <w:r w:rsidDel="00000000" w:rsidR="00000000" w:rsidRPr="00000000">
        <w:rPr>
          <w:b w:val="1"/>
          <w:bCs w:val="1"/>
          <w:sz w:val="24"/>
          <w:szCs w:val="24"/>
          <w:rtl w:val="0"/>
        </w:rPr>
        <w:t xml:space="preserve">4 March 2026</w:t>
      </w:r>
    </w:p>
    <w:p w:rsidR="00000000" w:rsidDel="00000000" w:rsidP="00000000" w:rsidRDefault="00000000" w:rsidRPr="00000000" w14:paraId="00000003">
      <w:pPr>
        <w:pStyle w:val="Heading2"/>
        <w:keepNext w:val="0"/>
        <w:keepLines w:val="0"/>
        <w:spacing w:after="80" w:lineRule="auto"/>
        <w:rPr>
          <w:b w:val="1"/>
          <w:bCs w:val="1"/>
          <w:sz w:val="36"/>
          <w:szCs w:val="36"/>
        </w:rPr>
      </w:pPr>
      <w:bookmarkStart w:colFirst="0" w:colLast="0" w:name="_orgwsi4qci25" w:id="1"/>
      <w:bookmarkEnd w:id="1"/>
      <w:r w:rsidDel="00000000" w:rsidR="00000000" w:rsidRPr="00000000">
        <w:rPr>
          <w:b w:val="1"/>
          <w:bCs w:val="1"/>
          <w:sz w:val="36"/>
          <w:szCs w:val="36"/>
          <w:rtl w:val="0"/>
        </w:rPr>
        <w:t xml:space="preserve">Black Justice Calls for Independent Review After Serious Procedural Defect in SRA Decision RGC‑000175478</w:t>
      </w:r>
    </w:p>
    <w:p w:rsidR="00000000" w:rsidDel="00000000" w:rsidP="00000000" w:rsidRDefault="00000000" w:rsidRPr="00000000" w14:paraId="00000004">
      <w:pPr>
        <w:spacing w:after="240" w:before="240" w:lineRule="auto"/>
        <w:rPr>
          <w:sz w:val="24"/>
          <w:szCs w:val="24"/>
        </w:rPr>
      </w:pPr>
      <w:r w:rsidDel="00000000" w:rsidR="00000000" w:rsidRPr="00000000">
        <w:rPr>
          <w:sz w:val="24"/>
          <w:szCs w:val="24"/>
          <w:rtl w:val="0"/>
        </w:rPr>
        <w:t xml:space="preserve">Black Justice has today published findings highlighting a significant procedural failure within the Solicitors Regulation Authority (SRA) concerning Case </w:t>
      </w:r>
      <w:r w:rsidDel="00000000" w:rsidR="00000000" w:rsidRPr="00000000">
        <w:rPr>
          <w:b w:val="1"/>
          <w:bCs w:val="1"/>
          <w:sz w:val="24"/>
          <w:szCs w:val="24"/>
          <w:rtl w:val="0"/>
        </w:rPr>
        <w:t xml:space="preserve">RGC‑000175478</w:t>
      </w:r>
      <w:r w:rsidDel="00000000" w:rsidR="00000000" w:rsidRPr="00000000">
        <w:rPr>
          <w:sz w:val="24"/>
          <w:szCs w:val="24"/>
          <w:rtl w:val="0"/>
        </w:rPr>
        <w:t xml:space="preserve">. The SRA issued a decision dated </w:t>
      </w:r>
      <w:r w:rsidDel="00000000" w:rsidR="00000000" w:rsidRPr="00000000">
        <w:rPr>
          <w:b w:val="1"/>
          <w:bCs w:val="1"/>
          <w:sz w:val="24"/>
          <w:szCs w:val="24"/>
          <w:rtl w:val="0"/>
        </w:rPr>
        <w:t xml:space="preserve">18 February 2026</w:t>
      </w:r>
      <w:r w:rsidDel="00000000" w:rsidR="00000000" w:rsidRPr="00000000">
        <w:rPr>
          <w:sz w:val="24"/>
          <w:szCs w:val="24"/>
          <w:rtl w:val="0"/>
        </w:rPr>
        <w:t xml:space="preserve"> which states that the regulator received the complainant’s report on </w:t>
      </w:r>
      <w:r w:rsidDel="00000000" w:rsidR="00000000" w:rsidRPr="00000000">
        <w:rPr>
          <w:b w:val="1"/>
          <w:bCs w:val="1"/>
          <w:sz w:val="24"/>
          <w:szCs w:val="24"/>
          <w:rtl w:val="0"/>
        </w:rPr>
        <w:t xml:space="preserve">13 November 2026</w:t>
      </w:r>
      <w:r w:rsidDel="00000000" w:rsidR="00000000" w:rsidRPr="00000000">
        <w:rPr>
          <w:sz w:val="24"/>
          <w:szCs w:val="24"/>
          <w:rtl w:val="0"/>
        </w:rPr>
        <w:t xml:space="preserve">—a date nine months </w:t>
      </w:r>
      <w:r w:rsidDel="00000000" w:rsidR="00000000" w:rsidRPr="00000000">
        <w:rPr>
          <w:i w:val="1"/>
          <w:iCs w:val="1"/>
          <w:sz w:val="24"/>
          <w:szCs w:val="24"/>
          <w:rtl w:val="0"/>
        </w:rPr>
        <w:t xml:space="preserve">after</w:t>
      </w:r>
      <w:r w:rsidDel="00000000" w:rsidR="00000000" w:rsidRPr="00000000">
        <w:rPr>
          <w:sz w:val="24"/>
          <w:szCs w:val="24"/>
          <w:rtl w:val="0"/>
        </w:rPr>
        <w:t xml:space="preserve"> the decision was issued.</w:t>
      </w:r>
    </w:p>
    <w:p w:rsidR="00000000" w:rsidDel="00000000" w:rsidP="00000000" w:rsidRDefault="00000000" w:rsidRPr="00000000" w14:paraId="00000005">
      <w:pPr>
        <w:spacing w:after="240" w:before="240" w:lineRule="auto"/>
        <w:rPr>
          <w:sz w:val="24"/>
          <w:szCs w:val="24"/>
        </w:rPr>
      </w:pPr>
      <w:r w:rsidDel="00000000" w:rsidR="00000000" w:rsidRPr="00000000">
        <w:rPr>
          <w:sz w:val="24"/>
          <w:szCs w:val="24"/>
          <w:rtl w:val="0"/>
        </w:rPr>
        <w:t xml:space="preserve">Black Justice identifies this as a </w:t>
      </w:r>
      <w:r w:rsidDel="00000000" w:rsidR="00000000" w:rsidRPr="00000000">
        <w:rPr>
          <w:b w:val="1"/>
          <w:bCs w:val="1"/>
          <w:sz w:val="24"/>
          <w:szCs w:val="24"/>
          <w:rtl w:val="0"/>
        </w:rPr>
        <w:t xml:space="preserve">chronological impossibility</w:t>
      </w:r>
      <w:r w:rsidDel="00000000" w:rsidR="00000000" w:rsidRPr="00000000">
        <w:rPr>
          <w:sz w:val="24"/>
          <w:szCs w:val="24"/>
          <w:rtl w:val="0"/>
        </w:rPr>
        <w:t xml:space="preserve"> that raises concerns about the integrity of the SRA’s case‑handling systems, the reliability of its evidential processes, and the lawfulness of its decision‑making.</w:t>
      </w:r>
    </w:p>
    <w:p w:rsidR="00000000" w:rsidDel="00000000" w:rsidP="00000000" w:rsidRDefault="00000000" w:rsidRPr="00000000" w14:paraId="00000006">
      <w:pPr>
        <w:spacing w:after="240" w:before="240" w:lineRule="auto"/>
        <w:rPr>
          <w:sz w:val="24"/>
          <w:szCs w:val="24"/>
        </w:rPr>
      </w:pPr>
      <w:r w:rsidDel="00000000" w:rsidR="00000000" w:rsidRPr="00000000">
        <w:rPr>
          <w:sz w:val="24"/>
          <w:szCs w:val="24"/>
          <w:rtl w:val="0"/>
        </w:rPr>
        <w:t xml:space="preserve">Despite acknowledging the defect, the SRA declined to investigate its implications and attempted to restrict escalation to internal management rather than the Independent Reviewer.</w:t>
      </w:r>
    </w:p>
    <w:p w:rsidR="00000000" w:rsidDel="00000000" w:rsidP="00000000" w:rsidRDefault="00000000" w:rsidRPr="00000000" w14:paraId="00000007">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8">
      <w:pPr>
        <w:pStyle w:val="Heading2"/>
        <w:keepNext w:val="0"/>
        <w:keepLines w:val="0"/>
        <w:spacing w:after="80" w:lineRule="auto"/>
        <w:rPr>
          <w:b w:val="1"/>
          <w:bCs w:val="1"/>
          <w:sz w:val="36"/>
          <w:szCs w:val="36"/>
        </w:rPr>
      </w:pPr>
      <w:bookmarkStart w:colFirst="0" w:colLast="0" w:name="_p8ar3c1ponq6" w:id="2"/>
      <w:bookmarkEnd w:id="2"/>
      <w:r w:rsidDel="00000000" w:rsidR="00000000" w:rsidRPr="00000000">
        <w:rPr>
          <w:b w:val="1"/>
          <w:bCs w:val="1"/>
          <w:sz w:val="36"/>
          <w:szCs w:val="36"/>
          <w:rtl w:val="0"/>
        </w:rPr>
        <w:t xml:space="preserve">Key Findings</w:t>
      </w:r>
    </w:p>
    <w:p w:rsidR="00000000" w:rsidDel="00000000" w:rsidP="00000000" w:rsidRDefault="00000000" w:rsidRPr="00000000" w14:paraId="00000009">
      <w:pPr>
        <w:numPr>
          <w:ilvl w:val="0"/>
          <w:numId w:val="2"/>
        </w:numPr>
        <w:spacing w:after="0" w:afterAutospacing="0" w:before="240" w:lineRule="auto"/>
        <w:ind w:left="720" w:hanging="360"/>
        <w:rPr>
          <w:sz w:val="24"/>
          <w:szCs w:val="24"/>
        </w:rPr>
      </w:pPr>
      <w:r w:rsidDel="00000000" w:rsidR="00000000" w:rsidRPr="00000000">
        <w:rPr>
          <w:sz w:val="24"/>
          <w:szCs w:val="24"/>
          <w:rtl w:val="0"/>
        </w:rPr>
        <w:t xml:space="preserve">The SRA’s decision contains a </w:t>
      </w:r>
      <w:r w:rsidDel="00000000" w:rsidR="00000000" w:rsidRPr="00000000">
        <w:rPr>
          <w:b w:val="1"/>
          <w:bCs w:val="1"/>
          <w:sz w:val="24"/>
          <w:szCs w:val="24"/>
          <w:rtl w:val="0"/>
        </w:rPr>
        <w:t xml:space="preserve">structural temporal error</w:t>
      </w:r>
      <w:r w:rsidDel="00000000" w:rsidR="00000000" w:rsidRPr="00000000">
        <w:rPr>
          <w:sz w:val="24"/>
          <w:szCs w:val="24"/>
          <w:rtl w:val="0"/>
        </w:rPr>
        <w:t xml:space="preserve"> that undermines the evidential chain and the reliability of the case file.</w:t>
      </w:r>
    </w:p>
    <w:p w:rsidR="00000000" w:rsidDel="00000000" w:rsidP="00000000" w:rsidRDefault="00000000" w:rsidRPr="00000000" w14:paraId="0000000A">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The SRA asserted that the decision was “accurate” </w:t>
      </w:r>
      <w:r w:rsidDel="00000000" w:rsidR="00000000" w:rsidRPr="00000000">
        <w:rPr>
          <w:b w:val="1"/>
          <w:bCs w:val="1"/>
          <w:sz w:val="24"/>
          <w:szCs w:val="24"/>
          <w:rtl w:val="0"/>
        </w:rPr>
        <w:t xml:space="preserve">without reviewing logs, timestamps, or version histories</w:t>
      </w:r>
      <w:r w:rsidDel="00000000" w:rsidR="00000000" w:rsidRPr="00000000">
        <w:rPr>
          <w:sz w:val="24"/>
          <w:szCs w:val="24"/>
          <w:rtl w:val="0"/>
        </w:rPr>
        <w:t xml:space="preserve">.</w:t>
      </w:r>
    </w:p>
    <w:p w:rsidR="00000000" w:rsidDel="00000000" w:rsidP="00000000" w:rsidRDefault="00000000" w:rsidRPr="00000000" w14:paraId="0000000B">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The refusal to escalate the matter to the Independent Reviewer represents a </w:t>
      </w:r>
      <w:r w:rsidDel="00000000" w:rsidR="00000000" w:rsidRPr="00000000">
        <w:rPr>
          <w:b w:val="1"/>
          <w:bCs w:val="1"/>
          <w:sz w:val="24"/>
          <w:szCs w:val="24"/>
          <w:rtl w:val="0"/>
        </w:rPr>
        <w:t xml:space="preserve">procedural fairness concern</w:t>
      </w:r>
      <w:r w:rsidDel="00000000" w:rsidR="00000000" w:rsidRPr="00000000">
        <w:rPr>
          <w:sz w:val="24"/>
          <w:szCs w:val="24"/>
          <w:rtl w:val="0"/>
        </w:rPr>
        <w:t xml:space="preserve">.</w:t>
      </w:r>
    </w:p>
    <w:p w:rsidR="00000000" w:rsidDel="00000000" w:rsidP="00000000" w:rsidRDefault="00000000" w:rsidRPr="00000000" w14:paraId="0000000C">
      <w:pPr>
        <w:numPr>
          <w:ilvl w:val="0"/>
          <w:numId w:val="2"/>
        </w:numPr>
        <w:spacing w:after="240" w:before="0" w:beforeAutospacing="0" w:lineRule="auto"/>
        <w:ind w:left="720" w:hanging="360"/>
        <w:rPr>
          <w:sz w:val="24"/>
          <w:szCs w:val="24"/>
        </w:rPr>
      </w:pPr>
      <w:r w:rsidDel="00000000" w:rsidR="00000000" w:rsidRPr="00000000">
        <w:rPr>
          <w:sz w:val="24"/>
          <w:szCs w:val="24"/>
          <w:rtl w:val="0"/>
        </w:rPr>
        <w:t xml:space="preserve">The pattern of minimisation applied to a Black complainant reflects </w:t>
      </w:r>
      <w:r w:rsidDel="00000000" w:rsidR="00000000" w:rsidRPr="00000000">
        <w:rPr>
          <w:b w:val="1"/>
          <w:bCs w:val="1"/>
          <w:sz w:val="24"/>
          <w:szCs w:val="24"/>
          <w:rtl w:val="0"/>
        </w:rPr>
        <w:t xml:space="preserve">racialised administrative behaviour</w:t>
      </w:r>
      <w:r w:rsidDel="00000000" w:rsidR="00000000" w:rsidRPr="00000000">
        <w:rPr>
          <w:sz w:val="24"/>
          <w:szCs w:val="24"/>
          <w:rtl w:val="0"/>
        </w:rPr>
        <w:t xml:space="preserve">, with potential discriminatory impact.</w:t>
      </w:r>
    </w:p>
    <w:p w:rsidR="00000000" w:rsidDel="00000000" w:rsidP="00000000" w:rsidRDefault="00000000" w:rsidRPr="00000000" w14:paraId="0000000D">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E">
      <w:pPr>
        <w:pStyle w:val="Heading2"/>
        <w:keepNext w:val="0"/>
        <w:keepLines w:val="0"/>
        <w:spacing w:after="80" w:lineRule="auto"/>
        <w:rPr>
          <w:b w:val="1"/>
          <w:bCs w:val="1"/>
          <w:sz w:val="36"/>
          <w:szCs w:val="36"/>
        </w:rPr>
      </w:pPr>
      <w:bookmarkStart w:colFirst="0" w:colLast="0" w:name="_uhojizflw102" w:id="3"/>
      <w:bookmarkEnd w:id="3"/>
      <w:r w:rsidDel="00000000" w:rsidR="00000000" w:rsidRPr="00000000">
        <w:rPr>
          <w:b w:val="1"/>
          <w:bCs w:val="1"/>
          <w:sz w:val="36"/>
          <w:szCs w:val="36"/>
          <w:rtl w:val="0"/>
        </w:rPr>
        <w:t xml:space="preserve">Black Justice Statement</w:t>
      </w:r>
    </w:p>
    <w:p w:rsidR="00000000" w:rsidDel="00000000" w:rsidP="00000000" w:rsidRDefault="00000000" w:rsidRPr="00000000" w14:paraId="0000000F">
      <w:pPr>
        <w:spacing w:after="240" w:before="240" w:lineRule="auto"/>
        <w:rPr>
          <w:sz w:val="24"/>
          <w:szCs w:val="24"/>
        </w:rPr>
      </w:pPr>
      <w:r w:rsidDel="00000000" w:rsidR="00000000" w:rsidRPr="00000000">
        <w:rPr>
          <w:sz w:val="24"/>
          <w:szCs w:val="24"/>
          <w:rtl w:val="0"/>
        </w:rPr>
        <w:t xml:space="preserve">A spokesperson for Black Justice said:</w:t>
      </w:r>
    </w:p>
    <w:p w:rsidR="00000000" w:rsidDel="00000000" w:rsidP="00000000" w:rsidRDefault="00000000" w:rsidRPr="00000000" w14:paraId="00000010">
      <w:pPr>
        <w:spacing w:after="240" w:before="240" w:lineRule="auto"/>
        <w:ind w:left="600" w:right="600" w:firstLine="0"/>
        <w:rPr>
          <w:sz w:val="24"/>
          <w:szCs w:val="24"/>
        </w:rPr>
      </w:pPr>
      <w:r w:rsidDel="00000000" w:rsidR="00000000" w:rsidRPr="00000000">
        <w:rPr>
          <w:sz w:val="24"/>
          <w:szCs w:val="24"/>
          <w:rtl w:val="0"/>
        </w:rPr>
        <w:t xml:space="preserve">“A regulator cannot issue a decision that contradicts its own timeline and then refuse to investigate the consequences. Chronological integrity is fundamental to lawful decision‑making. The public must be able to trust that regulatory bodies handle complaints accurately, transparently, and without discriminatory impact.”</w:t>
      </w:r>
    </w:p>
    <w:p w:rsidR="00000000" w:rsidDel="00000000" w:rsidP="00000000" w:rsidRDefault="00000000" w:rsidRPr="00000000" w14:paraId="00000011">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2">
      <w:pPr>
        <w:pStyle w:val="Heading2"/>
        <w:keepNext w:val="0"/>
        <w:keepLines w:val="0"/>
        <w:spacing w:after="80" w:lineRule="auto"/>
        <w:rPr>
          <w:b w:val="1"/>
          <w:bCs w:val="1"/>
          <w:sz w:val="36"/>
          <w:szCs w:val="36"/>
        </w:rPr>
      </w:pPr>
      <w:bookmarkStart w:colFirst="0" w:colLast="0" w:name="_rfaornm18149" w:id="4"/>
      <w:bookmarkEnd w:id="4"/>
      <w:r w:rsidDel="00000000" w:rsidR="00000000" w:rsidRPr="00000000">
        <w:rPr>
          <w:b w:val="1"/>
          <w:bCs w:val="1"/>
          <w:sz w:val="36"/>
          <w:szCs w:val="36"/>
          <w:rtl w:val="0"/>
        </w:rPr>
        <w:t xml:space="preserve">Public‑Interest Concerns</w:t>
      </w:r>
    </w:p>
    <w:p w:rsidR="00000000" w:rsidDel="00000000" w:rsidP="00000000" w:rsidRDefault="00000000" w:rsidRPr="00000000" w14:paraId="00000013">
      <w:pPr>
        <w:spacing w:after="240" w:before="240" w:lineRule="auto"/>
        <w:rPr>
          <w:sz w:val="24"/>
          <w:szCs w:val="24"/>
        </w:rPr>
      </w:pPr>
      <w:r w:rsidDel="00000000" w:rsidR="00000000" w:rsidRPr="00000000">
        <w:rPr>
          <w:sz w:val="24"/>
          <w:szCs w:val="24"/>
          <w:rtl w:val="0"/>
        </w:rPr>
        <w:t xml:space="preserve">Black Justice warns that the incident raises broader questions about:</w:t>
      </w:r>
    </w:p>
    <w:p w:rsidR="00000000" w:rsidDel="00000000" w:rsidP="00000000" w:rsidRDefault="00000000" w:rsidRPr="00000000" w14:paraId="00000014">
      <w:pPr>
        <w:numPr>
          <w:ilvl w:val="0"/>
          <w:numId w:val="1"/>
        </w:numPr>
        <w:spacing w:after="0" w:afterAutospacing="0" w:before="240" w:lineRule="auto"/>
        <w:ind w:left="720" w:hanging="360"/>
        <w:rPr>
          <w:sz w:val="24"/>
          <w:szCs w:val="24"/>
        </w:rPr>
      </w:pPr>
      <w:r w:rsidDel="00000000" w:rsidR="00000000" w:rsidRPr="00000000">
        <w:rPr>
          <w:sz w:val="24"/>
          <w:szCs w:val="24"/>
          <w:rtl w:val="0"/>
        </w:rPr>
        <w:t xml:space="preserve">the accuracy of regulatory record‑keeping,</w:t>
      </w:r>
    </w:p>
    <w:p w:rsidR="00000000" w:rsidDel="00000000" w:rsidP="00000000" w:rsidRDefault="00000000" w:rsidRPr="00000000" w14:paraId="00000015">
      <w:pPr>
        <w:numPr>
          <w:ilvl w:val="0"/>
          <w:numId w:val="1"/>
        </w:numPr>
        <w:spacing w:after="0" w:afterAutospacing="0" w:before="0" w:beforeAutospacing="0" w:lineRule="auto"/>
        <w:ind w:left="720" w:hanging="360"/>
        <w:rPr>
          <w:sz w:val="24"/>
          <w:szCs w:val="24"/>
        </w:rPr>
      </w:pPr>
      <w:r w:rsidDel="00000000" w:rsidR="00000000" w:rsidRPr="00000000">
        <w:rPr>
          <w:sz w:val="24"/>
          <w:szCs w:val="24"/>
          <w:rtl w:val="0"/>
        </w:rPr>
        <w:t xml:space="preserve">the possibility of template‑generated or premature decisions,</w:t>
      </w:r>
    </w:p>
    <w:p w:rsidR="00000000" w:rsidDel="00000000" w:rsidP="00000000" w:rsidRDefault="00000000" w:rsidRPr="00000000" w14:paraId="00000016">
      <w:pPr>
        <w:numPr>
          <w:ilvl w:val="0"/>
          <w:numId w:val="1"/>
        </w:numPr>
        <w:spacing w:after="0" w:afterAutospacing="0" w:before="0" w:beforeAutospacing="0" w:lineRule="auto"/>
        <w:ind w:left="720" w:hanging="360"/>
        <w:rPr>
          <w:sz w:val="24"/>
          <w:szCs w:val="24"/>
        </w:rPr>
      </w:pPr>
      <w:r w:rsidDel="00000000" w:rsidR="00000000" w:rsidRPr="00000000">
        <w:rPr>
          <w:sz w:val="24"/>
          <w:szCs w:val="24"/>
          <w:rtl w:val="0"/>
        </w:rPr>
        <w:t xml:space="preserve">the treatment of Black complainants within regulatory systems,</w:t>
      </w:r>
    </w:p>
    <w:p w:rsidR="00000000" w:rsidDel="00000000" w:rsidP="00000000" w:rsidRDefault="00000000" w:rsidRPr="00000000" w14:paraId="00000017">
      <w:pPr>
        <w:numPr>
          <w:ilvl w:val="0"/>
          <w:numId w:val="1"/>
        </w:numPr>
        <w:spacing w:after="240" w:before="0" w:beforeAutospacing="0" w:lineRule="auto"/>
        <w:ind w:left="720" w:hanging="360"/>
        <w:rPr>
          <w:sz w:val="24"/>
          <w:szCs w:val="24"/>
        </w:rPr>
      </w:pPr>
      <w:r w:rsidDel="00000000" w:rsidR="00000000" w:rsidRPr="00000000">
        <w:rPr>
          <w:sz w:val="24"/>
          <w:szCs w:val="24"/>
          <w:rtl w:val="0"/>
        </w:rPr>
        <w:t xml:space="preserve">and the effectiveness of independent oversight mechanisms.</w:t>
      </w:r>
    </w:p>
    <w:p w:rsidR="00000000" w:rsidDel="00000000" w:rsidP="00000000" w:rsidRDefault="00000000" w:rsidRPr="00000000" w14:paraId="00000018">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9">
      <w:pPr>
        <w:pStyle w:val="Heading2"/>
        <w:keepNext w:val="0"/>
        <w:keepLines w:val="0"/>
        <w:spacing w:after="80" w:lineRule="auto"/>
        <w:rPr>
          <w:b w:val="1"/>
          <w:bCs w:val="1"/>
          <w:sz w:val="36"/>
          <w:szCs w:val="36"/>
        </w:rPr>
      </w:pPr>
      <w:bookmarkStart w:colFirst="0" w:colLast="0" w:name="_ir33idydyj0m" w:id="5"/>
      <w:bookmarkEnd w:id="5"/>
      <w:r w:rsidDel="00000000" w:rsidR="00000000" w:rsidRPr="00000000">
        <w:rPr>
          <w:b w:val="1"/>
          <w:bCs w:val="1"/>
          <w:sz w:val="36"/>
          <w:szCs w:val="36"/>
          <w:rtl w:val="0"/>
        </w:rPr>
        <w:t xml:space="preserve">Recommendations</w:t>
      </w:r>
    </w:p>
    <w:p w:rsidR="00000000" w:rsidDel="00000000" w:rsidP="00000000" w:rsidRDefault="00000000" w:rsidRPr="00000000" w14:paraId="0000001A">
      <w:pPr>
        <w:spacing w:after="240" w:before="240" w:lineRule="auto"/>
        <w:rPr>
          <w:sz w:val="24"/>
          <w:szCs w:val="24"/>
        </w:rPr>
      </w:pPr>
      <w:r w:rsidDel="00000000" w:rsidR="00000000" w:rsidRPr="00000000">
        <w:rPr>
          <w:sz w:val="24"/>
          <w:szCs w:val="24"/>
          <w:rtl w:val="0"/>
        </w:rPr>
        <w:t xml:space="preserve">Black Justice calls for:</w:t>
      </w:r>
    </w:p>
    <w:p w:rsidR="00000000" w:rsidDel="00000000" w:rsidP="00000000" w:rsidRDefault="00000000" w:rsidRPr="00000000" w14:paraId="0000001B">
      <w:pPr>
        <w:numPr>
          <w:ilvl w:val="0"/>
          <w:numId w:val="3"/>
        </w:numPr>
        <w:spacing w:after="0" w:afterAutospacing="0" w:before="240" w:lineRule="auto"/>
        <w:ind w:left="720" w:hanging="360"/>
        <w:rPr>
          <w:sz w:val="24"/>
          <w:szCs w:val="24"/>
        </w:rPr>
      </w:pPr>
      <w:r w:rsidDel="00000000" w:rsidR="00000000" w:rsidRPr="00000000">
        <w:rPr>
          <w:sz w:val="24"/>
          <w:szCs w:val="24"/>
          <w:rtl w:val="0"/>
        </w:rPr>
        <w:t xml:space="preserve">a full independent review of the case,</w:t>
      </w:r>
    </w:p>
    <w:p w:rsidR="00000000" w:rsidDel="00000000" w:rsidP="00000000" w:rsidRDefault="00000000" w:rsidRPr="00000000" w14:paraId="0000001C">
      <w:pPr>
        <w:numPr>
          <w:ilvl w:val="0"/>
          <w:numId w:val="3"/>
        </w:numPr>
        <w:spacing w:after="0" w:afterAutospacing="0" w:before="0" w:beforeAutospacing="0" w:lineRule="auto"/>
        <w:ind w:left="720" w:hanging="360"/>
        <w:rPr>
          <w:sz w:val="24"/>
          <w:szCs w:val="24"/>
        </w:rPr>
      </w:pPr>
      <w:r w:rsidDel="00000000" w:rsidR="00000000" w:rsidRPr="00000000">
        <w:rPr>
          <w:sz w:val="24"/>
          <w:szCs w:val="24"/>
          <w:rtl w:val="0"/>
        </w:rPr>
        <w:t xml:space="preserve">disclosure of the case‑handling log, version history, and evidence‑access records,</w:t>
      </w:r>
    </w:p>
    <w:p w:rsidR="00000000" w:rsidDel="00000000" w:rsidP="00000000" w:rsidRDefault="00000000" w:rsidRPr="00000000" w14:paraId="0000001D">
      <w:pPr>
        <w:numPr>
          <w:ilvl w:val="0"/>
          <w:numId w:val="3"/>
        </w:numPr>
        <w:spacing w:after="0" w:afterAutospacing="0" w:before="0" w:beforeAutospacing="0" w:lineRule="auto"/>
        <w:ind w:left="720" w:hanging="360"/>
        <w:rPr>
          <w:sz w:val="24"/>
          <w:szCs w:val="24"/>
        </w:rPr>
      </w:pPr>
      <w:r w:rsidDel="00000000" w:rsidR="00000000" w:rsidRPr="00000000">
        <w:rPr>
          <w:sz w:val="24"/>
          <w:szCs w:val="24"/>
          <w:rtl w:val="0"/>
        </w:rPr>
        <w:t xml:space="preserve">withdrawal and reassessment of the decision by an uninvolved officer,</w:t>
      </w:r>
    </w:p>
    <w:p w:rsidR="00000000" w:rsidDel="00000000" w:rsidP="00000000" w:rsidRDefault="00000000" w:rsidRPr="00000000" w14:paraId="0000001E">
      <w:pPr>
        <w:numPr>
          <w:ilvl w:val="0"/>
          <w:numId w:val="3"/>
        </w:numPr>
        <w:spacing w:after="240" w:before="0" w:beforeAutospacing="0" w:lineRule="auto"/>
        <w:ind w:left="720" w:hanging="360"/>
        <w:rPr>
          <w:sz w:val="24"/>
          <w:szCs w:val="24"/>
        </w:rPr>
      </w:pPr>
      <w:r w:rsidDel="00000000" w:rsidR="00000000" w:rsidRPr="00000000">
        <w:rPr>
          <w:sz w:val="24"/>
          <w:szCs w:val="24"/>
          <w:rtl w:val="0"/>
        </w:rPr>
        <w:t xml:space="preserve">and an equality‑impact evaluation of the SRA’s response.</w:t>
      </w:r>
    </w:p>
    <w:p w:rsidR="00000000" w:rsidDel="00000000" w:rsidP="00000000" w:rsidRDefault="00000000" w:rsidRPr="00000000" w14:paraId="0000001F">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0">
      <w:pPr>
        <w:pStyle w:val="Heading2"/>
        <w:keepNext w:val="0"/>
        <w:keepLines w:val="0"/>
        <w:spacing w:after="80" w:lineRule="auto"/>
        <w:rPr>
          <w:b w:val="1"/>
          <w:bCs w:val="1"/>
          <w:sz w:val="36"/>
          <w:szCs w:val="36"/>
        </w:rPr>
      </w:pPr>
      <w:bookmarkStart w:colFirst="0" w:colLast="0" w:name="_r3c7gn7y7ty1" w:id="6"/>
      <w:bookmarkEnd w:id="6"/>
      <w:r w:rsidDel="00000000" w:rsidR="00000000" w:rsidRPr="00000000">
        <w:rPr>
          <w:b w:val="1"/>
          <w:bCs w:val="1"/>
          <w:sz w:val="36"/>
          <w:szCs w:val="36"/>
          <w:rtl w:val="0"/>
        </w:rPr>
        <w:t xml:space="preserve">About Black Justice</w:t>
      </w:r>
    </w:p>
    <w:p w:rsidR="00000000" w:rsidDel="00000000" w:rsidP="00000000" w:rsidRDefault="00000000" w:rsidRPr="00000000" w14:paraId="00000021">
      <w:pPr>
        <w:spacing w:after="240" w:before="240" w:lineRule="auto"/>
        <w:rPr>
          <w:sz w:val="24"/>
          <w:szCs w:val="24"/>
        </w:rPr>
      </w:pPr>
      <w:r w:rsidDel="00000000" w:rsidR="00000000" w:rsidRPr="00000000">
        <w:rPr>
          <w:sz w:val="24"/>
          <w:szCs w:val="24"/>
          <w:rtl w:val="0"/>
        </w:rPr>
        <w:t xml:space="preserve">Black Justice is a research and oversight body dedicated to procedural fairness, regulatory accountability, and the protection of Black communities within legal and administrative systems. The organisation conducts doctrinal research, publishes public‑interest reports, and supports individuals navigating regulatory processes.</w:t>
      </w:r>
    </w:p>
    <w:p w:rsidR="00000000" w:rsidDel="00000000" w:rsidP="00000000" w:rsidRDefault="00000000" w:rsidRPr="00000000" w14:paraId="00000022">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