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wyx557lp8xvr" w:id="0"/>
      <w:bookmarkEnd w:id="0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Black Justice Doctrinal Journal – Internal Archive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Entry 47B/2026</w:t>
        <w:br w:type="textWrapping"/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b w:val="1"/>
          <w:bCs w:val="1"/>
          <w:rtl w:val="0"/>
        </w:rPr>
        <w:t xml:space="preserve">Title: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i w:val="1"/>
          <w:iCs w:val="1"/>
          <w:rtl w:val="0"/>
        </w:rPr>
        <w:t xml:space="preserve">Legitimate Expectation, Procedural Fairness, and Misdirection of Power in SRA Refusal to Escalate – Case RGC‑000175478</w:t>
        <w:br w:type="textWrapping"/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b w:val="1"/>
          <w:bCs w:val="1"/>
          <w:rtl w:val="0"/>
        </w:rPr>
        <w:t xml:space="preserve">Date:</w:t>
      </w:r>
      <w:r w:rsidDel="00000000" w:rsidR="00000000" w:rsidRPr="00000000">
        <w:rPr>
          <w:rtl w:val="0"/>
        </w:rPr>
        <w:t xml:space="preserve"> 4 March 2026</w:t>
        <w:br w:type="textWrapping"/>
        <w:t xml:space="preserve"> </w:t>
      </w:r>
      <w:r w:rsidDel="00000000" w:rsidR="00000000" w:rsidRPr="00000000">
        <w:rPr>
          <w:b w:val="1"/>
          <w:bCs w:val="1"/>
          <w:rtl w:val="0"/>
        </w:rPr>
        <w:t xml:space="preserve">Author:</w:t>
      </w:r>
      <w:r w:rsidDel="00000000" w:rsidR="00000000" w:rsidRPr="00000000">
        <w:rPr>
          <w:rtl w:val="0"/>
        </w:rPr>
        <w:t xml:space="preserve"> Black Justice Research Centre – Doctrinal Division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axelyqsyvzyv" w:id="1"/>
      <w:bookmarkEnd w:id="1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I. Context and Purpose</w:t>
      </w:r>
    </w:p>
    <w:p w:rsidR="00000000" w:rsidDel="00000000" w:rsidP="00000000" w:rsidRDefault="00000000" w:rsidRPr="00000000" w14:paraId="0000000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This entry records the SRA’s refusal to escalate Case RGC‑000175478 following its admission of a chronological impossibility in the decision dated 18 February 2026. The refusal is analysed doctrinally as a breach of:</w:t>
      </w:r>
    </w:p>
    <w:p w:rsidR="00000000" w:rsidDel="00000000" w:rsidP="00000000" w:rsidRDefault="00000000" w:rsidRPr="00000000" w14:paraId="00000006">
      <w:pPr>
        <w:numPr>
          <w:ilvl w:val="0"/>
          <w:numId w:val="2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Legitimate expectation</w:t>
      </w:r>
    </w:p>
    <w:p w:rsidR="00000000" w:rsidDel="00000000" w:rsidP="00000000" w:rsidRDefault="00000000" w:rsidRPr="00000000" w14:paraId="00000007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Procedural fairness</w:t>
      </w:r>
    </w:p>
    <w:p w:rsidR="00000000" w:rsidDel="00000000" w:rsidP="00000000" w:rsidRDefault="00000000" w:rsidRPr="00000000" w14:paraId="00000008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Rational administrative decision‑making</w:t>
      </w:r>
    </w:p>
    <w:p w:rsidR="00000000" w:rsidDel="00000000" w:rsidP="00000000" w:rsidRDefault="00000000" w:rsidRPr="00000000" w14:paraId="00000009">
      <w:pPr>
        <w:numPr>
          <w:ilvl w:val="0"/>
          <w:numId w:val="2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Proper exercise of statutory power</w:t>
      </w:r>
    </w:p>
    <w:p w:rsidR="00000000" w:rsidDel="00000000" w:rsidP="00000000" w:rsidRDefault="00000000" w:rsidRPr="00000000" w14:paraId="0000000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This entry is paired with Entry 47A/2026, which documents the temporal collapse and evidential‑chain failure. Together, they form a complete doctrinal record of the incident.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g7nwh52zf753" w:id="2"/>
      <w:bookmarkEnd w:id="2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II. Legitimate Expectation</w:t>
      </w:r>
    </w:p>
    <w:p w:rsidR="00000000" w:rsidDel="00000000" w:rsidP="00000000" w:rsidRDefault="00000000" w:rsidRPr="00000000" w14:paraId="0000000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Regulators create legitimate expectations through:</w:t>
      </w:r>
    </w:p>
    <w:p w:rsidR="00000000" w:rsidDel="00000000" w:rsidP="00000000" w:rsidRDefault="00000000" w:rsidRPr="00000000" w14:paraId="0000000E">
      <w:pPr>
        <w:numPr>
          <w:ilvl w:val="0"/>
          <w:numId w:val="4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published escalation frameworks,</w:t>
      </w:r>
    </w:p>
    <w:p w:rsidR="00000000" w:rsidDel="00000000" w:rsidP="00000000" w:rsidRDefault="00000000" w:rsidRPr="00000000" w14:paraId="0000000F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statutory accountability mechanisms,</w:t>
      </w:r>
    </w:p>
    <w:p w:rsidR="00000000" w:rsidDel="00000000" w:rsidP="00000000" w:rsidRDefault="00000000" w:rsidRPr="00000000" w14:paraId="00000010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consistent practice,</w:t>
      </w:r>
    </w:p>
    <w:p w:rsidR="00000000" w:rsidDel="00000000" w:rsidP="00000000" w:rsidRDefault="00000000" w:rsidRPr="00000000" w14:paraId="00000011">
      <w:pPr>
        <w:numPr>
          <w:ilvl w:val="0"/>
          <w:numId w:val="4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and assurances of independent oversight.</w:t>
      </w:r>
    </w:p>
    <w:p w:rsidR="00000000" w:rsidDel="00000000" w:rsidP="00000000" w:rsidRDefault="00000000" w:rsidRPr="00000000" w14:paraId="0000001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The SRA’s accountability structure includes the </w:t>
      </w:r>
      <w:r w:rsidDel="00000000" w:rsidR="00000000" w:rsidRPr="00000000">
        <w:rPr>
          <w:b w:val="1"/>
          <w:bCs w:val="1"/>
          <w:rtl w:val="0"/>
        </w:rPr>
        <w:t xml:space="preserve">Independent Reviewer</w:t>
      </w:r>
      <w:r w:rsidDel="00000000" w:rsidR="00000000" w:rsidRPr="00000000">
        <w:rPr>
          <w:rtl w:val="0"/>
        </w:rPr>
        <w:t xml:space="preserve">, whose remit covers:</w:t>
      </w:r>
    </w:p>
    <w:p w:rsidR="00000000" w:rsidDel="00000000" w:rsidP="00000000" w:rsidRDefault="00000000" w:rsidRPr="00000000" w14:paraId="00000013">
      <w:pPr>
        <w:numPr>
          <w:ilvl w:val="0"/>
          <w:numId w:val="5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procedural defects,</w:t>
      </w:r>
    </w:p>
    <w:p w:rsidR="00000000" w:rsidDel="00000000" w:rsidP="00000000" w:rsidRDefault="00000000" w:rsidRPr="00000000" w14:paraId="00000014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fairness concerns,</w:t>
      </w:r>
    </w:p>
    <w:p w:rsidR="00000000" w:rsidDel="00000000" w:rsidP="00000000" w:rsidRDefault="00000000" w:rsidRPr="00000000" w14:paraId="00000015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record‑keeping failures,</w:t>
      </w:r>
    </w:p>
    <w:p w:rsidR="00000000" w:rsidDel="00000000" w:rsidP="00000000" w:rsidRDefault="00000000" w:rsidRPr="00000000" w14:paraId="00000016">
      <w:pPr>
        <w:numPr>
          <w:ilvl w:val="0"/>
          <w:numId w:val="5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and service‑quality issues.</w:t>
      </w:r>
    </w:p>
    <w:p w:rsidR="00000000" w:rsidDel="00000000" w:rsidP="00000000" w:rsidRDefault="00000000" w:rsidRPr="00000000" w14:paraId="0000001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 complainant therefore has a legitimate expectation that:</w:t>
      </w:r>
    </w:p>
    <w:p w:rsidR="00000000" w:rsidDel="00000000" w:rsidP="00000000" w:rsidRDefault="00000000" w:rsidRPr="00000000" w14:paraId="00000018">
      <w:pPr>
        <w:numPr>
          <w:ilvl w:val="0"/>
          <w:numId w:val="11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serious procedural defects will be investigated,</w:t>
      </w:r>
    </w:p>
    <w:p w:rsidR="00000000" w:rsidDel="00000000" w:rsidP="00000000" w:rsidRDefault="00000000" w:rsidRPr="00000000" w14:paraId="00000019">
      <w:pPr>
        <w:numPr>
          <w:ilvl w:val="0"/>
          <w:numId w:val="1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escalation routes will be honoured,</w:t>
      </w:r>
    </w:p>
    <w:p w:rsidR="00000000" w:rsidDel="00000000" w:rsidP="00000000" w:rsidRDefault="00000000" w:rsidRPr="00000000" w14:paraId="0000001A">
      <w:pPr>
        <w:numPr>
          <w:ilvl w:val="0"/>
          <w:numId w:val="11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and independent review will not be obstructed.</w:t>
      </w:r>
    </w:p>
    <w:p w:rsidR="00000000" w:rsidDel="00000000" w:rsidP="00000000" w:rsidRDefault="00000000" w:rsidRPr="00000000" w14:paraId="0000001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The SRA’s refusal to escalate—despite admitting a structural defect—constitutes a </w:t>
      </w:r>
      <w:r w:rsidDel="00000000" w:rsidR="00000000" w:rsidRPr="00000000">
        <w:rPr>
          <w:b w:val="1"/>
          <w:bCs w:val="1"/>
          <w:rtl w:val="0"/>
        </w:rPr>
        <w:t xml:space="preserve">breach of legitimate expectation</w:t>
      </w:r>
      <w:r w:rsidDel="00000000" w:rsidR="00000000" w:rsidRPr="00000000">
        <w:rPr>
          <w:rtl w:val="0"/>
        </w:rPr>
        <w:t xml:space="preserve">. This breach is doctrinally significant because it undermines the predictability and fairness of the regulatory process.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pzs01ybqq309" w:id="3"/>
      <w:bookmarkEnd w:id="3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III. Procedural Fairness</w:t>
      </w:r>
    </w:p>
    <w:p w:rsidR="00000000" w:rsidDel="00000000" w:rsidP="00000000" w:rsidRDefault="00000000" w:rsidRPr="00000000" w14:paraId="0000001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Procedural fairness requires:</w:t>
      </w:r>
    </w:p>
    <w:p w:rsidR="00000000" w:rsidDel="00000000" w:rsidP="00000000" w:rsidRDefault="00000000" w:rsidRPr="00000000" w14:paraId="0000001F">
      <w:pPr>
        <w:numPr>
          <w:ilvl w:val="0"/>
          <w:numId w:val="8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investigation of admitted defects,</w:t>
      </w:r>
    </w:p>
    <w:p w:rsidR="00000000" w:rsidDel="00000000" w:rsidP="00000000" w:rsidRDefault="00000000" w:rsidRPr="00000000" w14:paraId="00000020">
      <w:pPr>
        <w:numPr>
          <w:ilvl w:val="0"/>
          <w:numId w:val="8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transparent reasoning,</w:t>
      </w:r>
    </w:p>
    <w:p w:rsidR="00000000" w:rsidDel="00000000" w:rsidP="00000000" w:rsidRDefault="00000000" w:rsidRPr="00000000" w14:paraId="00000021">
      <w:pPr>
        <w:numPr>
          <w:ilvl w:val="0"/>
          <w:numId w:val="8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access to independent review,</w:t>
      </w:r>
    </w:p>
    <w:p w:rsidR="00000000" w:rsidDel="00000000" w:rsidP="00000000" w:rsidRDefault="00000000" w:rsidRPr="00000000" w14:paraId="00000022">
      <w:pPr>
        <w:numPr>
          <w:ilvl w:val="0"/>
          <w:numId w:val="8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and decisions based on evidence rather than institutional convenience.</w:t>
      </w:r>
    </w:p>
    <w:p w:rsidR="00000000" w:rsidDel="00000000" w:rsidP="00000000" w:rsidRDefault="00000000" w:rsidRPr="00000000" w14:paraId="0000002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The SRA’s refusal violates these principles in three ways:</w:t>
      </w:r>
    </w:p>
    <w:p w:rsidR="00000000" w:rsidDel="00000000" w:rsidP="00000000" w:rsidRDefault="00000000" w:rsidRPr="00000000" w14:paraId="00000024">
      <w:pPr>
        <w:numPr>
          <w:ilvl w:val="0"/>
          <w:numId w:val="7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No investigation</w:t>
      </w:r>
      <w:r w:rsidDel="00000000" w:rsidR="00000000" w:rsidRPr="00000000">
        <w:rPr>
          <w:rtl w:val="0"/>
        </w:rPr>
        <w:t xml:space="preserve"> was conducted into the consequences of the chronological impossibility.</w:t>
      </w:r>
    </w:p>
    <w:p w:rsidR="00000000" w:rsidDel="00000000" w:rsidP="00000000" w:rsidRDefault="00000000" w:rsidRPr="00000000" w14:paraId="00000025">
      <w:pPr>
        <w:numPr>
          <w:ilvl w:val="0"/>
          <w:numId w:val="7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No reasoning</w:t>
      </w:r>
      <w:r w:rsidDel="00000000" w:rsidR="00000000" w:rsidRPr="00000000">
        <w:rPr>
          <w:rtl w:val="0"/>
        </w:rPr>
        <w:t xml:space="preserve"> was provided to justify the assertion that the decision was “sound”.</w:t>
      </w:r>
    </w:p>
    <w:p w:rsidR="00000000" w:rsidDel="00000000" w:rsidP="00000000" w:rsidRDefault="00000000" w:rsidRPr="00000000" w14:paraId="00000026">
      <w:pPr>
        <w:numPr>
          <w:ilvl w:val="0"/>
          <w:numId w:val="7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Access to escalation</w:t>
      </w:r>
      <w:r w:rsidDel="00000000" w:rsidR="00000000" w:rsidRPr="00000000">
        <w:rPr>
          <w:rtl w:val="0"/>
        </w:rPr>
        <w:t xml:space="preserve"> was restricted to the Investigation Officer’s manager, excluding the Independent Reviewer.</w:t>
      </w:r>
    </w:p>
    <w:p w:rsidR="00000000" w:rsidDel="00000000" w:rsidP="00000000" w:rsidRDefault="00000000" w:rsidRPr="00000000" w14:paraId="0000002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This constitutes a </w:t>
      </w:r>
      <w:r w:rsidDel="00000000" w:rsidR="00000000" w:rsidRPr="00000000">
        <w:rPr>
          <w:b w:val="1"/>
          <w:bCs w:val="1"/>
          <w:rtl w:val="0"/>
        </w:rPr>
        <w:t xml:space="preserve">procedural fairness failure</w:t>
      </w:r>
      <w:r w:rsidDel="00000000" w:rsidR="00000000" w:rsidRPr="00000000">
        <w:rPr>
          <w:rtl w:val="0"/>
        </w:rPr>
        <w:t xml:space="preserve">, recorded here as a doctrinal example of </w:t>
      </w:r>
      <w:r w:rsidDel="00000000" w:rsidR="00000000" w:rsidRPr="00000000">
        <w:rPr>
          <w:i w:val="1"/>
          <w:iCs w:val="1"/>
          <w:rtl w:val="0"/>
        </w:rPr>
        <w:t xml:space="preserve">institutional self‑protection overriding fairness obligations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ywvbhi6hc69d" w:id="4"/>
      <w:bookmarkEnd w:id="4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IV. Misdirection of Statutory Power</w:t>
      </w:r>
    </w:p>
    <w:p w:rsidR="00000000" w:rsidDel="00000000" w:rsidP="00000000" w:rsidRDefault="00000000" w:rsidRPr="00000000" w14:paraId="0000002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The SRA’s attempt to limit escalation to the Investigation Officer’s manager is a </w:t>
      </w:r>
      <w:r w:rsidDel="00000000" w:rsidR="00000000" w:rsidRPr="00000000">
        <w:rPr>
          <w:b w:val="1"/>
          <w:bCs w:val="1"/>
          <w:rtl w:val="0"/>
        </w:rPr>
        <w:t xml:space="preserve">misdirection of power</w:t>
      </w:r>
      <w:r w:rsidDel="00000000" w:rsidR="00000000" w:rsidRPr="00000000">
        <w:rPr>
          <w:rtl w:val="0"/>
        </w:rPr>
        <w:t xml:space="preserve">. Staff cannot:</w:t>
      </w:r>
    </w:p>
    <w:p w:rsidR="00000000" w:rsidDel="00000000" w:rsidP="00000000" w:rsidRDefault="00000000" w:rsidRPr="00000000" w14:paraId="0000002B">
      <w:pPr>
        <w:numPr>
          <w:ilvl w:val="0"/>
          <w:numId w:val="3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redefine the scope of the Independent Reviewer,</w:t>
      </w:r>
    </w:p>
    <w:p w:rsidR="00000000" w:rsidDel="00000000" w:rsidP="00000000" w:rsidRDefault="00000000" w:rsidRPr="00000000" w14:paraId="0000002C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restrict access to statutory safeguards,</w:t>
      </w:r>
    </w:p>
    <w:p w:rsidR="00000000" w:rsidDel="00000000" w:rsidP="00000000" w:rsidRDefault="00000000" w:rsidRPr="00000000" w14:paraId="0000002D">
      <w:pPr>
        <w:numPr>
          <w:ilvl w:val="0"/>
          <w:numId w:val="3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or substitute internal managerial review for independent oversight.</w:t>
      </w:r>
    </w:p>
    <w:p w:rsidR="00000000" w:rsidDel="00000000" w:rsidP="00000000" w:rsidRDefault="00000000" w:rsidRPr="00000000" w14:paraId="0000002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By attempting to do so, the SRA exercised its powers for an </w:t>
      </w:r>
      <w:r w:rsidDel="00000000" w:rsidR="00000000" w:rsidRPr="00000000">
        <w:rPr>
          <w:b w:val="1"/>
          <w:bCs w:val="1"/>
          <w:rtl w:val="0"/>
        </w:rPr>
        <w:t xml:space="preserve">improper purpose</w:t>
      </w:r>
      <w:r w:rsidDel="00000000" w:rsidR="00000000" w:rsidRPr="00000000">
        <w:rPr>
          <w:rtl w:val="0"/>
        </w:rPr>
        <w:t xml:space="preserve">—shielding the institution from scrutiny rather than ensuring procedural integrity.</w:t>
      </w:r>
    </w:p>
    <w:p w:rsidR="00000000" w:rsidDel="00000000" w:rsidP="00000000" w:rsidRDefault="00000000" w:rsidRPr="00000000" w14:paraId="0000002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This is preserved as a doctrinal instance of </w:t>
      </w:r>
      <w:r w:rsidDel="00000000" w:rsidR="00000000" w:rsidRPr="00000000">
        <w:rPr>
          <w:b w:val="1"/>
          <w:bCs w:val="1"/>
          <w:rtl w:val="0"/>
        </w:rPr>
        <w:t xml:space="preserve">institutional gatekeeping</w:t>
      </w:r>
      <w:r w:rsidDel="00000000" w:rsidR="00000000" w:rsidRPr="00000000">
        <w:rPr>
          <w:rtl w:val="0"/>
        </w:rPr>
        <w:t xml:space="preserve">, a behaviour Black Justice tracks across regulators.</w:t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tb84p8td7uky" w:id="5"/>
      <w:bookmarkEnd w:id="5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V. Administrative Irrationality</w:t>
      </w:r>
    </w:p>
    <w:p w:rsidR="00000000" w:rsidDel="00000000" w:rsidP="00000000" w:rsidRDefault="00000000" w:rsidRPr="00000000" w14:paraId="0000003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The SRA asserted that the decision contained “no material flaws” despite:</w:t>
      </w:r>
    </w:p>
    <w:p w:rsidR="00000000" w:rsidDel="00000000" w:rsidP="00000000" w:rsidRDefault="00000000" w:rsidRPr="00000000" w14:paraId="00000033">
      <w:pPr>
        <w:numPr>
          <w:ilvl w:val="0"/>
          <w:numId w:val="9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admitting the defect,</w:t>
      </w:r>
    </w:p>
    <w:p w:rsidR="00000000" w:rsidDel="00000000" w:rsidP="00000000" w:rsidRDefault="00000000" w:rsidRPr="00000000" w14:paraId="00000034">
      <w:pPr>
        <w:numPr>
          <w:ilvl w:val="0"/>
          <w:numId w:val="9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reviewing no logs,</w:t>
      </w:r>
    </w:p>
    <w:p w:rsidR="00000000" w:rsidDel="00000000" w:rsidP="00000000" w:rsidRDefault="00000000" w:rsidRPr="00000000" w14:paraId="00000035">
      <w:pPr>
        <w:numPr>
          <w:ilvl w:val="0"/>
          <w:numId w:val="9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examining no version histories,</w:t>
      </w:r>
    </w:p>
    <w:p w:rsidR="00000000" w:rsidDel="00000000" w:rsidP="00000000" w:rsidRDefault="00000000" w:rsidRPr="00000000" w14:paraId="00000036">
      <w:pPr>
        <w:numPr>
          <w:ilvl w:val="0"/>
          <w:numId w:val="9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checking no evidence‑access records,</w:t>
      </w:r>
    </w:p>
    <w:p w:rsidR="00000000" w:rsidDel="00000000" w:rsidP="00000000" w:rsidRDefault="00000000" w:rsidRPr="00000000" w14:paraId="00000037">
      <w:pPr>
        <w:numPr>
          <w:ilvl w:val="0"/>
          <w:numId w:val="9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and conducting no inquiry.</w:t>
      </w:r>
    </w:p>
    <w:p w:rsidR="00000000" w:rsidDel="00000000" w:rsidP="00000000" w:rsidRDefault="00000000" w:rsidRPr="00000000" w14:paraId="0000003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 conclusion reached without investigation is </w:t>
      </w:r>
      <w:r w:rsidDel="00000000" w:rsidR="00000000" w:rsidRPr="00000000">
        <w:rPr>
          <w:b w:val="1"/>
          <w:bCs w:val="1"/>
          <w:rtl w:val="0"/>
        </w:rPr>
        <w:t xml:space="preserve">Wednesbury irrational</w:t>
      </w:r>
      <w:r w:rsidDel="00000000" w:rsidR="00000000" w:rsidRPr="00000000">
        <w:rPr>
          <w:rtl w:val="0"/>
        </w:rPr>
        <w:t xml:space="preserve">.</w:t>
        <w:br w:type="textWrapping"/>
        <w:t xml:space="preserve"> This is recorded as a doctrinal example of </w:t>
      </w:r>
      <w:r w:rsidDel="00000000" w:rsidR="00000000" w:rsidRPr="00000000">
        <w:rPr>
          <w:i w:val="1"/>
          <w:iCs w:val="1"/>
          <w:rtl w:val="0"/>
        </w:rPr>
        <w:t xml:space="preserve">assertion without inquiry</w:t>
      </w:r>
      <w:r w:rsidDel="00000000" w:rsidR="00000000" w:rsidRPr="00000000">
        <w:rPr>
          <w:rtl w:val="0"/>
        </w:rPr>
        <w:t xml:space="preserve">, a recurring pattern in regulatory responses to procedural challenges.</w:t>
      </w:r>
    </w:p>
    <w:p w:rsidR="00000000" w:rsidDel="00000000" w:rsidP="00000000" w:rsidRDefault="00000000" w:rsidRPr="00000000" w14:paraId="00000039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dwfd7qkkzfvo" w:id="6"/>
      <w:bookmarkEnd w:id="6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VI. Equality and Racialised Administrative Behaviour</w:t>
      </w:r>
    </w:p>
    <w:p w:rsidR="00000000" w:rsidDel="00000000" w:rsidP="00000000" w:rsidRDefault="00000000" w:rsidRPr="00000000" w14:paraId="0000003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The refusal to escalate, when viewed alongside the minimisation of the structural defect, forms a pattern consistent with </w:t>
      </w:r>
      <w:r w:rsidDel="00000000" w:rsidR="00000000" w:rsidRPr="00000000">
        <w:rPr>
          <w:b w:val="1"/>
          <w:bCs w:val="1"/>
          <w:rtl w:val="0"/>
        </w:rPr>
        <w:t xml:space="preserve">racialised administrative minimisation</w:t>
      </w:r>
      <w:r w:rsidDel="00000000" w:rsidR="00000000" w:rsidRPr="00000000">
        <w:rPr>
          <w:rtl w:val="0"/>
        </w:rPr>
        <w:t xml:space="preserve">:</w:t>
      </w:r>
    </w:p>
    <w:p w:rsidR="00000000" w:rsidDel="00000000" w:rsidP="00000000" w:rsidRDefault="00000000" w:rsidRPr="00000000" w14:paraId="0000003C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structural concerns raised by a Black complainant are trivialised,</w:t>
      </w:r>
    </w:p>
    <w:p w:rsidR="00000000" w:rsidDel="00000000" w:rsidP="00000000" w:rsidRDefault="00000000" w:rsidRPr="00000000" w14:paraId="0000003D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escalation routes are gatekept,</w:t>
      </w:r>
    </w:p>
    <w:p w:rsidR="00000000" w:rsidDel="00000000" w:rsidP="00000000" w:rsidRDefault="00000000" w:rsidRPr="00000000" w14:paraId="0000003E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institutional error is reframed as harmless,</w:t>
      </w:r>
    </w:p>
    <w:p w:rsidR="00000000" w:rsidDel="00000000" w:rsidP="00000000" w:rsidRDefault="00000000" w:rsidRPr="00000000" w14:paraId="0000003F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and the complainant is positioned as unreasonable.</w:t>
      </w:r>
    </w:p>
    <w:p w:rsidR="00000000" w:rsidDel="00000000" w:rsidP="00000000" w:rsidRDefault="00000000" w:rsidRPr="00000000" w14:paraId="0000004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This pattern has a </w:t>
      </w:r>
      <w:r w:rsidDel="00000000" w:rsidR="00000000" w:rsidRPr="00000000">
        <w:rPr>
          <w:b w:val="1"/>
          <w:bCs w:val="1"/>
          <w:rtl w:val="0"/>
        </w:rPr>
        <w:t xml:space="preserve">discriminatory impact</w:t>
      </w:r>
      <w:r w:rsidDel="00000000" w:rsidR="00000000" w:rsidRPr="00000000">
        <w:rPr>
          <w:rtl w:val="0"/>
        </w:rPr>
        <w:t xml:space="preserve"> under the Equality Act 2010, regardless of intent.</w:t>
        <w:br w:type="textWrapping"/>
        <w:t xml:space="preserve"> The incident is therefore recorded with an </w:t>
      </w:r>
      <w:r w:rsidDel="00000000" w:rsidR="00000000" w:rsidRPr="00000000">
        <w:rPr>
          <w:b w:val="1"/>
          <w:bCs w:val="1"/>
          <w:rtl w:val="0"/>
        </w:rPr>
        <w:t xml:space="preserve">Equality Marker</w:t>
      </w:r>
      <w:r w:rsidDel="00000000" w:rsidR="00000000" w:rsidRPr="00000000">
        <w:rPr>
          <w:rtl w:val="0"/>
        </w:rPr>
        <w:t xml:space="preserve"> for future comparative analysis.</w:t>
      </w:r>
    </w:p>
    <w:p w:rsidR="00000000" w:rsidDel="00000000" w:rsidP="00000000" w:rsidRDefault="00000000" w:rsidRPr="00000000" w14:paraId="00000041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onf2e6amv75d" w:id="7"/>
      <w:bookmarkEnd w:id="7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VII. Archival Classification</w:t>
      </w:r>
    </w:p>
    <w:p w:rsidR="00000000" w:rsidDel="00000000" w:rsidP="00000000" w:rsidRDefault="00000000" w:rsidRPr="00000000" w14:paraId="00000043">
      <w:pPr>
        <w:numPr>
          <w:ilvl w:val="0"/>
          <w:numId w:val="6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Category:</w:t>
      </w:r>
      <w:r w:rsidDel="00000000" w:rsidR="00000000" w:rsidRPr="00000000">
        <w:rPr>
          <w:rtl w:val="0"/>
        </w:rPr>
        <w:t xml:space="preserve"> Procedural Fairness Breach</w:t>
      </w:r>
    </w:p>
    <w:p w:rsidR="00000000" w:rsidDel="00000000" w:rsidP="00000000" w:rsidRDefault="00000000" w:rsidRPr="00000000" w14:paraId="00000044">
      <w:pPr>
        <w:numPr>
          <w:ilvl w:val="0"/>
          <w:numId w:val="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Sub‑Category:</w:t>
      </w:r>
      <w:r w:rsidDel="00000000" w:rsidR="00000000" w:rsidRPr="00000000">
        <w:rPr>
          <w:rtl w:val="0"/>
        </w:rPr>
        <w:t xml:space="preserve"> Legitimate Expectation / Misdirection of Power</w:t>
      </w:r>
    </w:p>
    <w:p w:rsidR="00000000" w:rsidDel="00000000" w:rsidP="00000000" w:rsidRDefault="00000000" w:rsidRPr="00000000" w14:paraId="00000045">
      <w:pPr>
        <w:numPr>
          <w:ilvl w:val="0"/>
          <w:numId w:val="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Equality Marker:</w:t>
      </w:r>
      <w:r w:rsidDel="00000000" w:rsidR="00000000" w:rsidRPr="00000000">
        <w:rPr>
          <w:rtl w:val="0"/>
        </w:rPr>
        <w:t xml:space="preserve"> Racially Aggravated Administrative Minimisation</w:t>
      </w:r>
    </w:p>
    <w:p w:rsidR="00000000" w:rsidDel="00000000" w:rsidP="00000000" w:rsidRDefault="00000000" w:rsidRPr="00000000" w14:paraId="00000046">
      <w:pPr>
        <w:numPr>
          <w:ilvl w:val="0"/>
          <w:numId w:val="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Institutional Behaviour Marker:</w:t>
      </w:r>
      <w:r w:rsidDel="00000000" w:rsidR="00000000" w:rsidRPr="00000000">
        <w:rPr>
          <w:rtl w:val="0"/>
        </w:rPr>
        <w:t xml:space="preserve"> Assertion Without Inquiry</w:t>
      </w:r>
    </w:p>
    <w:p w:rsidR="00000000" w:rsidDel="00000000" w:rsidP="00000000" w:rsidRDefault="00000000" w:rsidRPr="00000000" w14:paraId="00000047">
      <w:pPr>
        <w:numPr>
          <w:ilvl w:val="0"/>
          <w:numId w:val="6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Risk Level:</w:t>
      </w:r>
      <w:r w:rsidDel="00000000" w:rsidR="00000000" w:rsidRPr="00000000">
        <w:rPr>
          <w:rtl w:val="0"/>
        </w:rPr>
        <w:t xml:space="preserve"> High (Accountability, Equality Compliance, Public Confidence)</w:t>
      </w:r>
    </w:p>
    <w:p w:rsidR="00000000" w:rsidDel="00000000" w:rsidP="00000000" w:rsidRDefault="00000000" w:rsidRPr="00000000" w14:paraId="0000004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This classification ensures the incident is retrievable for doctrinal research, equality analysis, and public‑interest reporting.</w:t>
      </w:r>
    </w:p>
    <w:p w:rsidR="00000000" w:rsidDel="00000000" w:rsidP="00000000" w:rsidRDefault="00000000" w:rsidRPr="00000000" w14:paraId="00000049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fmnvtwcrxkr" w:id="8"/>
      <w:bookmarkEnd w:id="8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VIII. Forward Integration</w:t>
      </w:r>
    </w:p>
    <w:p w:rsidR="00000000" w:rsidDel="00000000" w:rsidP="00000000" w:rsidRDefault="00000000" w:rsidRPr="00000000" w14:paraId="0000004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This entry will be integrated into:</w:t>
      </w:r>
    </w:p>
    <w:p w:rsidR="00000000" w:rsidDel="00000000" w:rsidP="00000000" w:rsidRDefault="00000000" w:rsidRPr="00000000" w14:paraId="0000004C">
      <w:pPr>
        <w:numPr>
          <w:ilvl w:val="0"/>
          <w:numId w:val="10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the 2026 Black Justice Annual Review on </w:t>
      </w:r>
      <w:r w:rsidDel="00000000" w:rsidR="00000000" w:rsidRPr="00000000">
        <w:rPr>
          <w:i w:val="1"/>
          <w:iCs w:val="1"/>
          <w:rtl w:val="0"/>
        </w:rPr>
        <w:t xml:space="preserve">Procedural Fairness and Regulatory Accountability</w:t>
      </w:r>
      <w:r w:rsidDel="00000000" w:rsidR="00000000" w:rsidRPr="00000000">
        <w:rPr>
          <w:rtl w:val="0"/>
        </w:rPr>
        <w:t xml:space="preserve">,</w:t>
      </w:r>
    </w:p>
    <w:p w:rsidR="00000000" w:rsidDel="00000000" w:rsidP="00000000" w:rsidRDefault="00000000" w:rsidRPr="00000000" w14:paraId="0000004D">
      <w:pPr>
        <w:numPr>
          <w:ilvl w:val="0"/>
          <w:numId w:val="10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the Equality Impact Ledger,</w:t>
      </w:r>
    </w:p>
    <w:p w:rsidR="00000000" w:rsidDel="00000000" w:rsidP="00000000" w:rsidRDefault="00000000" w:rsidRPr="00000000" w14:paraId="0000004E">
      <w:pPr>
        <w:numPr>
          <w:ilvl w:val="0"/>
          <w:numId w:val="10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the longitudinal dataset on racialised administrative behaviour,</w:t>
      </w:r>
    </w:p>
    <w:p w:rsidR="00000000" w:rsidDel="00000000" w:rsidP="00000000" w:rsidRDefault="00000000" w:rsidRPr="00000000" w14:paraId="0000004F">
      <w:pPr>
        <w:numPr>
          <w:ilvl w:val="0"/>
          <w:numId w:val="10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and the internal training corpus on misdirection of power and legitimate expectation.</w:t>
      </w:r>
    </w:p>
    <w:p w:rsidR="00000000" w:rsidDel="00000000" w:rsidP="00000000" w:rsidRDefault="00000000" w:rsidRPr="00000000" w14:paraId="0000005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It may also be cited in future submissions to oversight bodies, equality inquiries, or judicial‑review analyses.</w:t>
      </w:r>
    </w:p>
    <w:p w:rsidR="00000000" w:rsidDel="00000000" w:rsidP="00000000" w:rsidRDefault="00000000" w:rsidRPr="00000000" w14:paraId="00000051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