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spacing w:before="480" w:lineRule="auto"/>
        <w:rPr>
          <w:b w:val="1"/>
          <w:bCs w:val="1"/>
          <w:sz w:val="46"/>
          <w:szCs w:val="46"/>
        </w:rPr>
      </w:pPr>
      <w:bookmarkStart w:colFirst="0" w:colLast="0" w:name="_d1rzxw3m7qec" w:id="0"/>
      <w:bookmarkEnd w:id="0"/>
      <w:r w:rsidDel="00000000" w:rsidR="00000000" w:rsidRPr="00000000">
        <w:rPr>
          <w:b w:val="1"/>
          <w:bCs w:val="1"/>
          <w:sz w:val="46"/>
          <w:szCs w:val="46"/>
          <w:rtl w:val="0"/>
        </w:rPr>
        <w:t xml:space="preserve">RACIALLY AGGRAVATED PROCEDURAL RISK IN FINANCIAL‑REGULATORY DISPUTE RESOLUTION: A DOCTRINAL CASE STUDY OF FOS COMPLAINT PNX‑5830006‑F4L0</w:t>
      </w:r>
    </w:p>
    <w:p w:rsidR="00000000" w:rsidDel="00000000" w:rsidP="00000000" w:rsidRDefault="00000000" w:rsidRPr="00000000" w14:paraId="00000002">
      <w:pPr>
        <w:spacing w:after="240" w:before="240" w:lineRule="auto"/>
        <w:rPr>
          <w:rFonts w:ascii="Georgia" w:cs="Georgia" w:eastAsia="Georgia" w:hAnsi="Georgia"/>
          <w:sz w:val="26"/>
          <w:szCs w:val="26"/>
        </w:rPr>
      </w:pPr>
      <w:r w:rsidDel="00000000" w:rsidR="00000000" w:rsidRPr="00000000">
        <w:rPr>
          <w:rFonts w:ascii="Georgia" w:cs="Georgia" w:eastAsia="Georgia" w:hAnsi="Georgia"/>
          <w:b w:val="1"/>
          <w:bCs w:val="1"/>
          <w:sz w:val="26"/>
          <w:szCs w:val="26"/>
          <w:rtl w:val="0"/>
        </w:rPr>
        <w:t xml:space="preserve">Author:</w:t>
        <w:br w:type="textWrapping"/>
      </w:r>
      <w:r w:rsidDel="00000000" w:rsidR="00000000" w:rsidRPr="00000000">
        <w:rPr>
          <w:rFonts w:ascii="Georgia" w:cs="Georgia" w:eastAsia="Georgia" w:hAnsi="Georgia"/>
          <w:sz w:val="26"/>
          <w:szCs w:val="26"/>
          <w:rtl w:val="0"/>
        </w:rPr>
        <w:t xml:space="preserve"> </w:t>
      </w:r>
      <w:r w:rsidDel="00000000" w:rsidR="00000000" w:rsidRPr="00000000">
        <w:rPr>
          <w:rFonts w:ascii="Georgia" w:cs="Georgia" w:eastAsia="Georgia" w:hAnsi="Georgia"/>
          <w:b w:val="1"/>
          <w:bCs w:val="1"/>
          <w:sz w:val="26"/>
          <w:szCs w:val="26"/>
          <w:rtl w:val="0"/>
        </w:rPr>
        <w:t xml:space="preserve">George T. Nomen, LL.B/LL.M</w:t>
        <w:br w:type="textWrapping"/>
      </w:r>
      <w:r w:rsidDel="00000000" w:rsidR="00000000" w:rsidRPr="00000000">
        <w:rPr>
          <w:rFonts w:ascii="Georgia" w:cs="Georgia" w:eastAsia="Georgia" w:hAnsi="Georgia"/>
          <w:sz w:val="26"/>
          <w:szCs w:val="26"/>
          <w:rtl w:val="0"/>
        </w:rPr>
        <w:t xml:space="preserve"> Lead Researcher – Evidential Integrity &amp; Procedural Risk</w:t>
        <w:br w:type="textWrapping"/>
        <w:t xml:space="preserve"> Black Justice Research Centre</w:t>
      </w:r>
    </w:p>
    <w:p w:rsidR="00000000" w:rsidDel="00000000" w:rsidP="00000000" w:rsidRDefault="00000000" w:rsidRPr="00000000" w14:paraId="00000003">
      <w:pPr>
        <w:rPr>
          <w:rFonts w:ascii="Georgia" w:cs="Georgia" w:eastAsia="Georgia" w:hAnsi="Georgia"/>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4">
      <w:pPr>
        <w:pStyle w:val="Heading2"/>
        <w:keepNext w:val="0"/>
        <w:keepLines w:val="0"/>
        <w:spacing w:after="80" w:lineRule="auto"/>
        <w:rPr>
          <w:rFonts w:ascii="Georgia" w:cs="Georgia" w:eastAsia="Georgia" w:hAnsi="Georgia"/>
          <w:b w:val="1"/>
          <w:bCs w:val="1"/>
          <w:sz w:val="38"/>
          <w:szCs w:val="38"/>
        </w:rPr>
      </w:pPr>
      <w:bookmarkStart w:colFirst="0" w:colLast="0" w:name="_ju49d8mdq5qv" w:id="1"/>
      <w:bookmarkEnd w:id="1"/>
      <w:r w:rsidDel="00000000" w:rsidR="00000000" w:rsidRPr="00000000">
        <w:rPr>
          <w:rFonts w:ascii="Georgia" w:cs="Georgia" w:eastAsia="Georgia" w:hAnsi="Georgia"/>
          <w:b w:val="1"/>
          <w:bCs w:val="1"/>
          <w:sz w:val="38"/>
          <w:szCs w:val="38"/>
          <w:rtl w:val="0"/>
        </w:rPr>
        <w:t xml:space="preserve">Abstract</w:t>
      </w:r>
    </w:p>
    <w:p w:rsidR="00000000" w:rsidDel="00000000" w:rsidP="00000000" w:rsidRDefault="00000000" w:rsidRPr="00000000" w14:paraId="00000005">
      <w:pPr>
        <w:spacing w:after="240" w:before="240" w:lineRule="auto"/>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This article examines the handling of complaint PNX‑5830006‑F4L0 by the Financial Ombudsman Service (FOS) as a doctrinal case study in </w:t>
      </w:r>
      <w:r w:rsidDel="00000000" w:rsidR="00000000" w:rsidRPr="00000000">
        <w:rPr>
          <w:rFonts w:ascii="Georgia" w:cs="Georgia" w:eastAsia="Georgia" w:hAnsi="Georgia"/>
          <w:b w:val="1"/>
          <w:bCs w:val="1"/>
          <w:sz w:val="26"/>
          <w:szCs w:val="26"/>
          <w:rtl w:val="0"/>
        </w:rPr>
        <w:t xml:space="preserve">racially aggravated procedural risk</w:t>
      </w:r>
      <w:r w:rsidDel="00000000" w:rsidR="00000000" w:rsidRPr="00000000">
        <w:rPr>
          <w:rFonts w:ascii="Georgia" w:cs="Georgia" w:eastAsia="Georgia" w:hAnsi="Georgia"/>
          <w:sz w:val="26"/>
          <w:szCs w:val="26"/>
          <w:rtl w:val="0"/>
        </w:rPr>
        <w:t xml:space="preserve">. Drawing on documentary evidence from the Ombudsman’s decision (5 February 2026), internal service‑complaint correspondence (9–12 February 2026), and statutory notices from HM Land Registry, the analysis identifies structural, evidential, and governance failures that disproportionately disadvantage Black complainants. The article contributes to the emerging doctrinal framework of racially aggravated procedural risk within administrative justice, demonstrating how ostensibly neutral regulatory processes can reproduce racialised harm through evidential minimisation, vulnerability erasure, and institutional defensiveness.</w:t>
      </w:r>
    </w:p>
    <w:p w:rsidR="00000000" w:rsidDel="00000000" w:rsidP="00000000" w:rsidRDefault="00000000" w:rsidRPr="00000000" w14:paraId="00000006">
      <w:pPr>
        <w:spacing w:after="240" w:before="240" w:lineRule="auto"/>
        <w:rPr>
          <w:rFonts w:ascii="Georgia" w:cs="Georgia" w:eastAsia="Georgia" w:hAnsi="Georgia"/>
          <w:sz w:val="26"/>
          <w:szCs w:val="26"/>
        </w:rPr>
      </w:pPr>
      <w:r w:rsidDel="00000000" w:rsidR="00000000" w:rsidRPr="00000000">
        <w:rPr>
          <w:rFonts w:ascii="Georgia" w:cs="Georgia" w:eastAsia="Georgia" w:hAnsi="Georgia"/>
          <w:b w:val="1"/>
          <w:bCs w:val="1"/>
          <w:sz w:val="26"/>
          <w:szCs w:val="26"/>
          <w:rtl w:val="0"/>
        </w:rPr>
        <w:t xml:space="preserve">Keywords:</w:t>
        <w:br w:type="textWrapping"/>
      </w:r>
      <w:r w:rsidDel="00000000" w:rsidR="00000000" w:rsidRPr="00000000">
        <w:rPr>
          <w:rFonts w:ascii="Georgia" w:cs="Georgia" w:eastAsia="Georgia" w:hAnsi="Georgia"/>
          <w:sz w:val="26"/>
          <w:szCs w:val="26"/>
          <w:rtl w:val="0"/>
        </w:rPr>
        <w:t xml:space="preserve"> racially aggravated procedural risk; administrative justice; Financial Ombudsman Service; vulnerability; evidential integrity; governance; racialisation.</w:t>
      </w:r>
    </w:p>
    <w:p w:rsidR="00000000" w:rsidDel="00000000" w:rsidP="00000000" w:rsidRDefault="00000000" w:rsidRPr="00000000" w14:paraId="00000007">
      <w:pPr>
        <w:rPr>
          <w:rFonts w:ascii="Georgia" w:cs="Georgia" w:eastAsia="Georgia" w:hAnsi="Georgia"/>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8">
      <w:pPr>
        <w:pStyle w:val="Heading1"/>
        <w:keepNext w:val="0"/>
        <w:keepLines w:val="0"/>
        <w:spacing w:before="480" w:lineRule="auto"/>
        <w:rPr>
          <w:rFonts w:ascii="Georgia" w:cs="Georgia" w:eastAsia="Georgia" w:hAnsi="Georgia"/>
          <w:b w:val="1"/>
          <w:bCs w:val="1"/>
          <w:sz w:val="50"/>
          <w:szCs w:val="50"/>
        </w:rPr>
      </w:pPr>
      <w:bookmarkStart w:colFirst="0" w:colLast="0" w:name="_wobhwi7wu7kh" w:id="2"/>
      <w:bookmarkEnd w:id="2"/>
      <w:r w:rsidDel="00000000" w:rsidR="00000000" w:rsidRPr="00000000">
        <w:rPr>
          <w:rFonts w:ascii="Georgia" w:cs="Georgia" w:eastAsia="Georgia" w:hAnsi="Georgia"/>
          <w:b w:val="1"/>
          <w:bCs w:val="1"/>
          <w:sz w:val="50"/>
          <w:szCs w:val="50"/>
          <w:rtl w:val="0"/>
        </w:rPr>
        <w:t xml:space="preserve">1. Introduction</w:t>
      </w:r>
    </w:p>
    <w:p w:rsidR="00000000" w:rsidDel="00000000" w:rsidP="00000000" w:rsidRDefault="00000000" w:rsidRPr="00000000" w14:paraId="00000009">
      <w:pPr>
        <w:spacing w:after="240" w:before="240" w:lineRule="auto"/>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Administrative justice systems in the United Kingdom present themselves as neutral, accessible, and procedurally fair. Yet a growing body of socio‑legal scholarship demonstrates that Black complainants experience </w:t>
      </w:r>
      <w:r w:rsidDel="00000000" w:rsidR="00000000" w:rsidRPr="00000000">
        <w:rPr>
          <w:rFonts w:ascii="Georgia" w:cs="Georgia" w:eastAsia="Georgia" w:hAnsi="Georgia"/>
          <w:b w:val="1"/>
          <w:bCs w:val="1"/>
          <w:sz w:val="26"/>
          <w:szCs w:val="26"/>
          <w:rtl w:val="0"/>
        </w:rPr>
        <w:t xml:space="preserve">structurally distinct forms of procedural disadvantage</w:t>
      </w:r>
      <w:r w:rsidDel="00000000" w:rsidR="00000000" w:rsidRPr="00000000">
        <w:rPr>
          <w:rFonts w:ascii="Georgia" w:cs="Georgia" w:eastAsia="Georgia" w:hAnsi="Georgia"/>
          <w:sz w:val="26"/>
          <w:szCs w:val="26"/>
          <w:rtl w:val="0"/>
        </w:rPr>
        <w:t xml:space="preserve">.¹ Within the Black Justice doctrinal framework, this phenomenon is conceptualised as </w:t>
      </w:r>
      <w:r w:rsidDel="00000000" w:rsidR="00000000" w:rsidRPr="00000000">
        <w:rPr>
          <w:rFonts w:ascii="Georgia" w:cs="Georgia" w:eastAsia="Georgia" w:hAnsi="Georgia"/>
          <w:b w:val="1"/>
          <w:bCs w:val="1"/>
          <w:sz w:val="26"/>
          <w:szCs w:val="26"/>
          <w:rtl w:val="0"/>
        </w:rPr>
        <w:t xml:space="preserve">racially aggravated procedural risk</w:t>
      </w:r>
      <w:r w:rsidDel="00000000" w:rsidR="00000000" w:rsidRPr="00000000">
        <w:rPr>
          <w:rFonts w:ascii="Georgia" w:cs="Georgia" w:eastAsia="Georgia" w:hAnsi="Georgia"/>
          <w:sz w:val="26"/>
          <w:szCs w:val="26"/>
          <w:rtl w:val="0"/>
        </w:rPr>
        <w:t xml:space="preserve"> — the heightened probability that a Black complainant will encounter procedural unfairness due to embedded institutional biases.</w:t>
      </w:r>
    </w:p>
    <w:p w:rsidR="00000000" w:rsidDel="00000000" w:rsidP="00000000" w:rsidRDefault="00000000" w:rsidRPr="00000000" w14:paraId="0000000A">
      <w:pPr>
        <w:spacing w:after="240" w:before="240" w:lineRule="auto"/>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This article applies that framework to the handling of Ms Donna Samantha Spence’s complaint (PNX‑5830006‑F4L0) by the Financial Ombudsman Service (FOS). The case provides a rare, well‑documented example of how racially aggravated procedural risk manifests within a financial‑regulatory dispute‑resolution environment.</w:t>
      </w:r>
    </w:p>
    <w:p w:rsidR="00000000" w:rsidDel="00000000" w:rsidP="00000000" w:rsidRDefault="00000000" w:rsidRPr="00000000" w14:paraId="0000000B">
      <w:pPr>
        <w:rPr>
          <w:rFonts w:ascii="Georgia" w:cs="Georgia" w:eastAsia="Georgia" w:hAnsi="Georgia"/>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C">
      <w:pPr>
        <w:pStyle w:val="Heading1"/>
        <w:keepNext w:val="0"/>
        <w:keepLines w:val="0"/>
        <w:spacing w:before="480" w:lineRule="auto"/>
        <w:rPr>
          <w:rFonts w:ascii="Georgia" w:cs="Georgia" w:eastAsia="Georgia" w:hAnsi="Georgia"/>
          <w:b w:val="1"/>
          <w:bCs w:val="1"/>
          <w:sz w:val="50"/>
          <w:szCs w:val="50"/>
        </w:rPr>
      </w:pPr>
      <w:bookmarkStart w:colFirst="0" w:colLast="0" w:name="_4io9xwrb9y7y" w:id="3"/>
      <w:bookmarkEnd w:id="3"/>
      <w:r w:rsidDel="00000000" w:rsidR="00000000" w:rsidRPr="00000000">
        <w:rPr>
          <w:rFonts w:ascii="Georgia" w:cs="Georgia" w:eastAsia="Georgia" w:hAnsi="Georgia"/>
          <w:b w:val="1"/>
          <w:bCs w:val="1"/>
          <w:sz w:val="50"/>
          <w:szCs w:val="50"/>
          <w:rtl w:val="0"/>
        </w:rPr>
        <w:t xml:space="preserve">2. Methodology and Sources</w:t>
      </w:r>
    </w:p>
    <w:p w:rsidR="00000000" w:rsidDel="00000000" w:rsidP="00000000" w:rsidRDefault="00000000" w:rsidRPr="00000000" w14:paraId="0000000D">
      <w:pPr>
        <w:spacing w:after="240" w:before="240" w:lineRule="auto"/>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This case study is based on primary documentary evidence, including:</w:t>
      </w:r>
    </w:p>
    <w:p w:rsidR="00000000" w:rsidDel="00000000" w:rsidP="00000000" w:rsidRDefault="00000000" w:rsidRPr="00000000" w14:paraId="0000000E">
      <w:pPr>
        <w:numPr>
          <w:ilvl w:val="0"/>
          <w:numId w:val="4"/>
        </w:numPr>
        <w:spacing w:after="0" w:afterAutospacing="0" w:before="240" w:lineRule="auto"/>
        <w:ind w:left="720" w:hanging="360"/>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the Ombudsman’s jurisdiction decision (5 February 2026)</w:t>
      </w:r>
    </w:p>
    <w:p w:rsidR="00000000" w:rsidDel="00000000" w:rsidP="00000000" w:rsidRDefault="00000000" w:rsidRPr="00000000" w14:paraId="0000000F">
      <w:pPr>
        <w:numPr>
          <w:ilvl w:val="0"/>
          <w:numId w:val="4"/>
        </w:numPr>
        <w:spacing w:after="0" w:afterAutospacing="0" w:before="0" w:beforeAutospacing="0" w:lineRule="auto"/>
        <w:ind w:left="720" w:hanging="360"/>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the representative’s submissions</w:t>
      </w:r>
    </w:p>
    <w:p w:rsidR="00000000" w:rsidDel="00000000" w:rsidP="00000000" w:rsidRDefault="00000000" w:rsidRPr="00000000" w14:paraId="00000010">
      <w:pPr>
        <w:numPr>
          <w:ilvl w:val="0"/>
          <w:numId w:val="4"/>
        </w:numPr>
        <w:spacing w:after="0" w:afterAutospacing="0" w:before="0" w:beforeAutospacing="0" w:lineRule="auto"/>
        <w:ind w:left="720" w:hanging="360"/>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the internal service‑complaint correspondence (9–12 February 2026)</w:t>
      </w:r>
    </w:p>
    <w:p w:rsidR="00000000" w:rsidDel="00000000" w:rsidP="00000000" w:rsidRDefault="00000000" w:rsidRPr="00000000" w14:paraId="00000011">
      <w:pPr>
        <w:numPr>
          <w:ilvl w:val="0"/>
          <w:numId w:val="4"/>
        </w:numPr>
        <w:spacing w:after="0" w:afterAutospacing="0" w:before="0" w:beforeAutospacing="0" w:lineRule="auto"/>
        <w:ind w:left="720" w:hanging="360"/>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statutory notices from HM Land Registry</w:t>
      </w:r>
    </w:p>
    <w:p w:rsidR="00000000" w:rsidDel="00000000" w:rsidP="00000000" w:rsidRDefault="00000000" w:rsidRPr="00000000" w14:paraId="00000012">
      <w:pPr>
        <w:numPr>
          <w:ilvl w:val="0"/>
          <w:numId w:val="4"/>
        </w:numPr>
        <w:spacing w:after="240" w:before="0" w:beforeAutospacing="0" w:lineRule="auto"/>
        <w:ind w:left="720" w:hanging="360"/>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the FOS’s own vulnerability policy (as referenced in correspondence)</w:t>
      </w:r>
    </w:p>
    <w:p w:rsidR="00000000" w:rsidDel="00000000" w:rsidP="00000000" w:rsidRDefault="00000000" w:rsidRPr="00000000" w14:paraId="00000013">
      <w:pPr>
        <w:spacing w:after="240" w:before="240" w:lineRule="auto"/>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The analysis adopts a doctrinal‑forensic method, examining the internal logic, evidential handling, and procedural conduct of the FOS.</w:t>
      </w:r>
    </w:p>
    <w:p w:rsidR="00000000" w:rsidDel="00000000" w:rsidP="00000000" w:rsidRDefault="00000000" w:rsidRPr="00000000" w14:paraId="00000014">
      <w:pPr>
        <w:rPr>
          <w:rFonts w:ascii="Georgia" w:cs="Georgia" w:eastAsia="Georgia" w:hAnsi="Georgia"/>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5">
      <w:pPr>
        <w:pStyle w:val="Heading1"/>
        <w:keepNext w:val="0"/>
        <w:keepLines w:val="0"/>
        <w:spacing w:before="480" w:lineRule="auto"/>
        <w:rPr>
          <w:rFonts w:ascii="Georgia" w:cs="Georgia" w:eastAsia="Georgia" w:hAnsi="Georgia"/>
          <w:b w:val="1"/>
          <w:bCs w:val="1"/>
          <w:sz w:val="50"/>
          <w:szCs w:val="50"/>
        </w:rPr>
      </w:pPr>
      <w:bookmarkStart w:colFirst="0" w:colLast="0" w:name="_6hbgwoi9axgs" w:id="4"/>
      <w:bookmarkEnd w:id="4"/>
      <w:r w:rsidDel="00000000" w:rsidR="00000000" w:rsidRPr="00000000">
        <w:rPr>
          <w:rFonts w:ascii="Georgia" w:cs="Georgia" w:eastAsia="Georgia" w:hAnsi="Georgia"/>
          <w:b w:val="1"/>
          <w:bCs w:val="1"/>
          <w:sz w:val="50"/>
          <w:szCs w:val="50"/>
          <w:rtl w:val="0"/>
        </w:rPr>
        <w:t xml:space="preserve">3. Factual Background</w:t>
      </w:r>
    </w:p>
    <w:p w:rsidR="00000000" w:rsidDel="00000000" w:rsidP="00000000" w:rsidRDefault="00000000" w:rsidRPr="00000000" w14:paraId="00000016">
      <w:pPr>
        <w:pStyle w:val="Heading2"/>
        <w:keepNext w:val="0"/>
        <w:keepLines w:val="0"/>
        <w:spacing w:after="80" w:lineRule="auto"/>
        <w:rPr>
          <w:rFonts w:ascii="Georgia" w:cs="Georgia" w:eastAsia="Georgia" w:hAnsi="Georgia"/>
          <w:b w:val="1"/>
          <w:bCs w:val="1"/>
          <w:sz w:val="38"/>
          <w:szCs w:val="38"/>
        </w:rPr>
      </w:pPr>
      <w:bookmarkStart w:colFirst="0" w:colLast="0" w:name="_80mgxenojsty" w:id="5"/>
      <w:bookmarkEnd w:id="5"/>
      <w:r w:rsidDel="00000000" w:rsidR="00000000" w:rsidRPr="00000000">
        <w:rPr>
          <w:rFonts w:ascii="Georgia" w:cs="Georgia" w:eastAsia="Georgia" w:hAnsi="Georgia"/>
          <w:b w:val="1"/>
          <w:bCs w:val="1"/>
          <w:sz w:val="38"/>
          <w:szCs w:val="38"/>
          <w:rtl w:val="0"/>
        </w:rPr>
        <w:t xml:space="preserve">3.1 Estate and Property</w:t>
      </w:r>
    </w:p>
    <w:p w:rsidR="00000000" w:rsidDel="00000000" w:rsidP="00000000" w:rsidRDefault="00000000" w:rsidRPr="00000000" w14:paraId="00000017">
      <w:pPr>
        <w:spacing w:after="240" w:before="240" w:lineRule="auto"/>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A relative of Ms Spence died in January 2016.² She was appointed as a co‑executor but was removed by court order in October 2019.³ The property was sold in April 2024, and the purchasers obtained a mortgage from Barclays Bank UK PLC.⁴</w:t>
      </w:r>
    </w:p>
    <w:p w:rsidR="00000000" w:rsidDel="00000000" w:rsidP="00000000" w:rsidRDefault="00000000" w:rsidRPr="00000000" w14:paraId="00000018">
      <w:pPr>
        <w:pStyle w:val="Heading2"/>
        <w:keepNext w:val="0"/>
        <w:keepLines w:val="0"/>
        <w:spacing w:after="80" w:lineRule="auto"/>
        <w:rPr>
          <w:rFonts w:ascii="Georgia" w:cs="Georgia" w:eastAsia="Georgia" w:hAnsi="Georgia"/>
          <w:b w:val="1"/>
          <w:bCs w:val="1"/>
          <w:sz w:val="38"/>
          <w:szCs w:val="38"/>
        </w:rPr>
      </w:pPr>
      <w:bookmarkStart w:colFirst="0" w:colLast="0" w:name="_uz9zhmpm3gbu" w:id="6"/>
      <w:bookmarkEnd w:id="6"/>
      <w:r w:rsidDel="00000000" w:rsidR="00000000" w:rsidRPr="00000000">
        <w:rPr>
          <w:rFonts w:ascii="Georgia" w:cs="Georgia" w:eastAsia="Georgia" w:hAnsi="Georgia"/>
          <w:b w:val="1"/>
          <w:bCs w:val="1"/>
          <w:sz w:val="38"/>
          <w:szCs w:val="38"/>
          <w:rtl w:val="0"/>
        </w:rPr>
        <w:t xml:space="preserve">3.2 Land Registry Recognition of Interest</w:t>
      </w:r>
    </w:p>
    <w:p w:rsidR="00000000" w:rsidDel="00000000" w:rsidP="00000000" w:rsidRDefault="00000000" w:rsidRPr="00000000" w14:paraId="00000019">
      <w:pPr>
        <w:spacing w:after="240" w:before="240" w:lineRule="auto"/>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The Ombudsman’s own findings confirm that:</w:t>
      </w:r>
    </w:p>
    <w:p w:rsidR="00000000" w:rsidDel="00000000" w:rsidP="00000000" w:rsidRDefault="00000000" w:rsidRPr="00000000" w14:paraId="0000001A">
      <w:pPr>
        <w:numPr>
          <w:ilvl w:val="0"/>
          <w:numId w:val="7"/>
        </w:numPr>
        <w:spacing w:after="0" w:afterAutospacing="0" w:before="240" w:lineRule="auto"/>
        <w:ind w:left="720" w:hanging="360"/>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“The Land Registry sent Ms S formal notification of the sale and mortgage…”⁵</w:t>
      </w:r>
    </w:p>
    <w:p w:rsidR="00000000" w:rsidDel="00000000" w:rsidP="00000000" w:rsidRDefault="00000000" w:rsidRPr="00000000" w14:paraId="0000001B">
      <w:pPr>
        <w:numPr>
          <w:ilvl w:val="0"/>
          <w:numId w:val="7"/>
        </w:numPr>
        <w:spacing w:after="0" w:afterAutospacing="0" w:before="0" w:beforeAutospacing="0" w:lineRule="auto"/>
        <w:ind w:left="720" w:hanging="360"/>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“She had registered an interest in the property.”⁶</w:t>
      </w:r>
    </w:p>
    <w:p w:rsidR="00000000" w:rsidDel="00000000" w:rsidP="00000000" w:rsidRDefault="00000000" w:rsidRPr="00000000" w14:paraId="0000001C">
      <w:pPr>
        <w:numPr>
          <w:ilvl w:val="0"/>
          <w:numId w:val="7"/>
        </w:numPr>
        <w:spacing w:after="240" w:before="0" w:beforeAutospacing="0" w:lineRule="auto"/>
        <w:ind w:left="720" w:hanging="360"/>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“It gave Ms S a chance to object or consent.”⁷</w:t>
      </w:r>
    </w:p>
    <w:p w:rsidR="00000000" w:rsidDel="00000000" w:rsidP="00000000" w:rsidRDefault="00000000" w:rsidRPr="00000000" w14:paraId="0000001D">
      <w:pPr>
        <w:spacing w:after="240" w:before="240" w:lineRule="auto"/>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These are statutory acts recognising her as a </w:t>
      </w:r>
      <w:r w:rsidDel="00000000" w:rsidR="00000000" w:rsidRPr="00000000">
        <w:rPr>
          <w:rFonts w:ascii="Georgia" w:cs="Georgia" w:eastAsia="Georgia" w:hAnsi="Georgia"/>
          <w:b w:val="1"/>
          <w:bCs w:val="1"/>
          <w:sz w:val="26"/>
          <w:szCs w:val="26"/>
          <w:rtl w:val="0"/>
        </w:rPr>
        <w:t xml:space="preserve">party affected</w:t>
      </w:r>
      <w:r w:rsidDel="00000000" w:rsidR="00000000" w:rsidRPr="00000000">
        <w:rPr>
          <w:rFonts w:ascii="Georgia" w:cs="Georgia" w:eastAsia="Georgia" w:hAnsi="Georgia"/>
          <w:sz w:val="26"/>
          <w:szCs w:val="26"/>
          <w:rtl w:val="0"/>
        </w:rPr>
        <w:t xml:space="preserve"> by the mortgage transaction.</w:t>
      </w:r>
    </w:p>
    <w:p w:rsidR="00000000" w:rsidDel="00000000" w:rsidP="00000000" w:rsidRDefault="00000000" w:rsidRPr="00000000" w14:paraId="0000001E">
      <w:pPr>
        <w:pStyle w:val="Heading2"/>
        <w:keepNext w:val="0"/>
        <w:keepLines w:val="0"/>
        <w:spacing w:after="80" w:lineRule="auto"/>
        <w:rPr>
          <w:rFonts w:ascii="Georgia" w:cs="Georgia" w:eastAsia="Georgia" w:hAnsi="Georgia"/>
          <w:b w:val="1"/>
          <w:bCs w:val="1"/>
          <w:sz w:val="38"/>
          <w:szCs w:val="38"/>
        </w:rPr>
      </w:pPr>
      <w:bookmarkStart w:colFirst="0" w:colLast="0" w:name="_3af8gbooy61z" w:id="7"/>
      <w:bookmarkEnd w:id="7"/>
      <w:r w:rsidDel="00000000" w:rsidR="00000000" w:rsidRPr="00000000">
        <w:rPr>
          <w:rFonts w:ascii="Georgia" w:cs="Georgia" w:eastAsia="Georgia" w:hAnsi="Georgia"/>
          <w:b w:val="1"/>
          <w:bCs w:val="1"/>
          <w:sz w:val="38"/>
          <w:szCs w:val="38"/>
          <w:rtl w:val="0"/>
        </w:rPr>
        <w:t xml:space="preserve">3.3 Barclays’ Position</w:t>
      </w:r>
    </w:p>
    <w:p w:rsidR="00000000" w:rsidDel="00000000" w:rsidP="00000000" w:rsidRDefault="00000000" w:rsidRPr="00000000" w14:paraId="0000001F">
      <w:pPr>
        <w:spacing w:after="240" w:before="240" w:lineRule="auto"/>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Barclays refused to engage with her, stating she had “no ownership” and could not be discussed with.⁸</w:t>
      </w:r>
    </w:p>
    <w:p w:rsidR="00000000" w:rsidDel="00000000" w:rsidP="00000000" w:rsidRDefault="00000000" w:rsidRPr="00000000" w14:paraId="00000020">
      <w:pPr>
        <w:pStyle w:val="Heading2"/>
        <w:keepNext w:val="0"/>
        <w:keepLines w:val="0"/>
        <w:spacing w:after="80" w:lineRule="auto"/>
        <w:rPr>
          <w:rFonts w:ascii="Georgia" w:cs="Georgia" w:eastAsia="Georgia" w:hAnsi="Georgia"/>
          <w:b w:val="1"/>
          <w:bCs w:val="1"/>
          <w:sz w:val="38"/>
          <w:szCs w:val="38"/>
        </w:rPr>
      </w:pPr>
      <w:bookmarkStart w:colFirst="0" w:colLast="0" w:name="_r7zsg4uzd62q" w:id="8"/>
      <w:bookmarkEnd w:id="8"/>
      <w:r w:rsidDel="00000000" w:rsidR="00000000" w:rsidRPr="00000000">
        <w:rPr>
          <w:rFonts w:ascii="Georgia" w:cs="Georgia" w:eastAsia="Georgia" w:hAnsi="Georgia"/>
          <w:b w:val="1"/>
          <w:bCs w:val="1"/>
          <w:sz w:val="38"/>
          <w:szCs w:val="38"/>
          <w:rtl w:val="0"/>
        </w:rPr>
        <w:t xml:space="preserve">3.4 FOS Handling</w:t>
      </w:r>
    </w:p>
    <w:p w:rsidR="00000000" w:rsidDel="00000000" w:rsidP="00000000" w:rsidRDefault="00000000" w:rsidRPr="00000000" w14:paraId="00000021">
      <w:pPr>
        <w:spacing w:after="240" w:before="240" w:lineRule="auto"/>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The FOS Investigator concluded that the complaint fell outside jurisdiction because Ms Spence was “not a customer.”⁹ The Ombudsman upheld this view, stating:</w:t>
      </w:r>
    </w:p>
    <w:p w:rsidR="00000000" w:rsidDel="00000000" w:rsidP="00000000" w:rsidRDefault="00000000" w:rsidRPr="00000000" w14:paraId="00000022">
      <w:pPr>
        <w:spacing w:after="240" w:before="240" w:lineRule="auto"/>
        <w:ind w:left="600" w:right="600" w:firstLine="0"/>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“Ms S’s only link to Barclays is that it granted a mortgage to the purchasers.”¹⁰</w:t>
      </w:r>
    </w:p>
    <w:p w:rsidR="00000000" w:rsidDel="00000000" w:rsidP="00000000" w:rsidRDefault="00000000" w:rsidRPr="00000000" w14:paraId="00000023">
      <w:pPr>
        <w:spacing w:after="240" w:before="240" w:lineRule="auto"/>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This statement contradicts the Ombudsman’s own findings.</w:t>
      </w:r>
    </w:p>
    <w:p w:rsidR="00000000" w:rsidDel="00000000" w:rsidP="00000000" w:rsidRDefault="00000000" w:rsidRPr="00000000" w14:paraId="00000024">
      <w:pPr>
        <w:pStyle w:val="Heading2"/>
        <w:keepNext w:val="0"/>
        <w:keepLines w:val="0"/>
        <w:spacing w:after="80" w:lineRule="auto"/>
        <w:rPr>
          <w:rFonts w:ascii="Georgia" w:cs="Georgia" w:eastAsia="Georgia" w:hAnsi="Georgia"/>
          <w:b w:val="1"/>
          <w:bCs w:val="1"/>
          <w:sz w:val="38"/>
          <w:szCs w:val="38"/>
        </w:rPr>
      </w:pPr>
      <w:bookmarkStart w:colFirst="0" w:colLast="0" w:name="_2dbezwuoex17" w:id="9"/>
      <w:bookmarkEnd w:id="9"/>
      <w:r w:rsidDel="00000000" w:rsidR="00000000" w:rsidRPr="00000000">
        <w:rPr>
          <w:rFonts w:ascii="Georgia" w:cs="Georgia" w:eastAsia="Georgia" w:hAnsi="Georgia"/>
          <w:b w:val="1"/>
          <w:bCs w:val="1"/>
          <w:sz w:val="38"/>
          <w:szCs w:val="38"/>
          <w:rtl w:val="0"/>
        </w:rPr>
        <w:t xml:space="preserve">3.5 Vulnerability</w:t>
      </w:r>
    </w:p>
    <w:p w:rsidR="00000000" w:rsidDel="00000000" w:rsidP="00000000" w:rsidRDefault="00000000" w:rsidRPr="00000000" w14:paraId="00000025">
      <w:pPr>
        <w:spacing w:after="240" w:before="240" w:lineRule="auto"/>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Ms Spence is homeless, exposed to cold weather, without legal representation, and in emotional distress.¹¹ The Ombudsman’s decision contains </w:t>
      </w:r>
      <w:r w:rsidDel="00000000" w:rsidR="00000000" w:rsidRPr="00000000">
        <w:rPr>
          <w:rFonts w:ascii="Georgia" w:cs="Georgia" w:eastAsia="Georgia" w:hAnsi="Georgia"/>
          <w:b w:val="1"/>
          <w:bCs w:val="1"/>
          <w:sz w:val="26"/>
          <w:szCs w:val="26"/>
          <w:rtl w:val="0"/>
        </w:rPr>
        <w:t xml:space="preserve">no reference</w:t>
      </w:r>
      <w:r w:rsidDel="00000000" w:rsidR="00000000" w:rsidRPr="00000000">
        <w:rPr>
          <w:rFonts w:ascii="Georgia" w:cs="Georgia" w:eastAsia="Georgia" w:hAnsi="Georgia"/>
          <w:sz w:val="26"/>
          <w:szCs w:val="26"/>
          <w:rtl w:val="0"/>
        </w:rPr>
        <w:t xml:space="preserve"> to vulnerability.</w:t>
      </w:r>
    </w:p>
    <w:p w:rsidR="00000000" w:rsidDel="00000000" w:rsidP="00000000" w:rsidRDefault="00000000" w:rsidRPr="00000000" w14:paraId="00000026">
      <w:pPr>
        <w:rPr>
          <w:rFonts w:ascii="Georgia" w:cs="Georgia" w:eastAsia="Georgia" w:hAnsi="Georgia"/>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7">
      <w:pPr>
        <w:pStyle w:val="Heading1"/>
        <w:keepNext w:val="0"/>
        <w:keepLines w:val="0"/>
        <w:spacing w:before="480" w:lineRule="auto"/>
        <w:rPr>
          <w:rFonts w:ascii="Georgia" w:cs="Georgia" w:eastAsia="Georgia" w:hAnsi="Georgia"/>
          <w:b w:val="1"/>
          <w:bCs w:val="1"/>
          <w:sz w:val="50"/>
          <w:szCs w:val="50"/>
        </w:rPr>
      </w:pPr>
      <w:bookmarkStart w:colFirst="0" w:colLast="0" w:name="_o1y6djb39vh3" w:id="10"/>
      <w:bookmarkEnd w:id="10"/>
      <w:r w:rsidDel="00000000" w:rsidR="00000000" w:rsidRPr="00000000">
        <w:rPr>
          <w:rFonts w:ascii="Georgia" w:cs="Georgia" w:eastAsia="Georgia" w:hAnsi="Georgia"/>
          <w:b w:val="1"/>
          <w:bCs w:val="1"/>
          <w:sz w:val="50"/>
          <w:szCs w:val="50"/>
          <w:rtl w:val="0"/>
        </w:rPr>
        <w:t xml:space="preserve">4. Indicators of Racially Aggravated Procedural Risk</w:t>
      </w:r>
    </w:p>
    <w:p w:rsidR="00000000" w:rsidDel="00000000" w:rsidP="00000000" w:rsidRDefault="00000000" w:rsidRPr="00000000" w14:paraId="00000028">
      <w:pPr>
        <w:pStyle w:val="Heading2"/>
        <w:keepNext w:val="0"/>
        <w:keepLines w:val="0"/>
        <w:spacing w:after="80" w:lineRule="auto"/>
        <w:rPr>
          <w:rFonts w:ascii="Georgia" w:cs="Georgia" w:eastAsia="Georgia" w:hAnsi="Georgia"/>
          <w:b w:val="1"/>
          <w:bCs w:val="1"/>
          <w:sz w:val="38"/>
          <w:szCs w:val="38"/>
        </w:rPr>
      </w:pPr>
      <w:bookmarkStart w:colFirst="0" w:colLast="0" w:name="_ezx7ooqb1m46" w:id="11"/>
      <w:bookmarkEnd w:id="11"/>
      <w:r w:rsidDel="00000000" w:rsidR="00000000" w:rsidRPr="00000000">
        <w:rPr>
          <w:rFonts w:ascii="Georgia" w:cs="Georgia" w:eastAsia="Georgia" w:hAnsi="Georgia"/>
          <w:b w:val="1"/>
          <w:bCs w:val="1"/>
          <w:sz w:val="38"/>
          <w:szCs w:val="38"/>
          <w:rtl w:val="0"/>
        </w:rPr>
        <w:t xml:space="preserve">4.1 Evidential Dismissal Without Reasoning</w:t>
      </w:r>
    </w:p>
    <w:p w:rsidR="00000000" w:rsidDel="00000000" w:rsidP="00000000" w:rsidRDefault="00000000" w:rsidRPr="00000000" w14:paraId="00000029">
      <w:pPr>
        <w:spacing w:after="240" w:before="240" w:lineRule="auto"/>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The Ombudsman states:</w:t>
      </w:r>
    </w:p>
    <w:p w:rsidR="00000000" w:rsidDel="00000000" w:rsidP="00000000" w:rsidRDefault="00000000" w:rsidRPr="00000000" w14:paraId="0000002A">
      <w:pPr>
        <w:spacing w:after="240" w:before="240" w:lineRule="auto"/>
        <w:ind w:left="600" w:right="600" w:firstLine="0"/>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“Much of it relating to our jurisdiction is factually incorrect.”¹²</w:t>
      </w:r>
    </w:p>
    <w:p w:rsidR="00000000" w:rsidDel="00000000" w:rsidP="00000000" w:rsidRDefault="00000000" w:rsidRPr="00000000" w14:paraId="0000002B">
      <w:pPr>
        <w:spacing w:after="240" w:before="240" w:lineRule="auto"/>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Yet:</w:t>
      </w:r>
    </w:p>
    <w:p w:rsidR="00000000" w:rsidDel="00000000" w:rsidP="00000000" w:rsidRDefault="00000000" w:rsidRPr="00000000" w14:paraId="0000002C">
      <w:pPr>
        <w:numPr>
          <w:ilvl w:val="0"/>
          <w:numId w:val="1"/>
        </w:numPr>
        <w:spacing w:after="0" w:afterAutospacing="0" w:before="240" w:lineRule="auto"/>
        <w:ind w:left="720" w:hanging="360"/>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no factual errors are identified</w:t>
      </w:r>
    </w:p>
    <w:p w:rsidR="00000000" w:rsidDel="00000000" w:rsidP="00000000" w:rsidRDefault="00000000" w:rsidRPr="00000000" w14:paraId="0000002D">
      <w:pPr>
        <w:numPr>
          <w:ilvl w:val="0"/>
          <w:numId w:val="1"/>
        </w:numPr>
        <w:spacing w:after="0" w:afterAutospacing="0" w:before="0" w:beforeAutospacing="0" w:lineRule="auto"/>
        <w:ind w:left="720" w:hanging="360"/>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no reasoning is provided</w:t>
      </w:r>
    </w:p>
    <w:p w:rsidR="00000000" w:rsidDel="00000000" w:rsidP="00000000" w:rsidRDefault="00000000" w:rsidRPr="00000000" w14:paraId="0000002E">
      <w:pPr>
        <w:numPr>
          <w:ilvl w:val="0"/>
          <w:numId w:val="1"/>
        </w:numPr>
        <w:spacing w:after="240" w:before="0" w:beforeAutospacing="0" w:lineRule="auto"/>
        <w:ind w:left="720" w:hanging="360"/>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no engagement with the submissions occurs</w:t>
      </w:r>
    </w:p>
    <w:p w:rsidR="00000000" w:rsidDel="00000000" w:rsidP="00000000" w:rsidRDefault="00000000" w:rsidRPr="00000000" w14:paraId="0000002F">
      <w:pPr>
        <w:spacing w:after="240" w:before="240" w:lineRule="auto"/>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This reflects a well‑documented pattern in racially aggravated risk cases: </w:t>
      </w:r>
      <w:r w:rsidDel="00000000" w:rsidR="00000000" w:rsidRPr="00000000">
        <w:rPr>
          <w:rFonts w:ascii="Georgia" w:cs="Georgia" w:eastAsia="Georgia" w:hAnsi="Georgia"/>
          <w:b w:val="1"/>
          <w:bCs w:val="1"/>
          <w:sz w:val="26"/>
          <w:szCs w:val="26"/>
          <w:rtl w:val="0"/>
        </w:rPr>
        <w:t xml:space="preserve">the Black complainant’s evidence is dismissed without analysis</w:t>
      </w:r>
      <w:r w:rsidDel="00000000" w:rsidR="00000000" w:rsidRPr="00000000">
        <w:rPr>
          <w:rFonts w:ascii="Georgia" w:cs="Georgia" w:eastAsia="Georgia" w:hAnsi="Georgia"/>
          <w:sz w:val="26"/>
          <w:szCs w:val="26"/>
          <w:rtl w:val="0"/>
        </w:rPr>
        <w:t xml:space="preserve">, while institutional assertions are treated as self‑validating.¹³</w:t>
      </w:r>
    </w:p>
    <w:p w:rsidR="00000000" w:rsidDel="00000000" w:rsidP="00000000" w:rsidRDefault="00000000" w:rsidRPr="00000000" w14:paraId="00000030">
      <w:pPr>
        <w:pStyle w:val="Heading2"/>
        <w:keepNext w:val="0"/>
        <w:keepLines w:val="0"/>
        <w:spacing w:after="80" w:lineRule="auto"/>
        <w:rPr>
          <w:rFonts w:ascii="Georgia" w:cs="Georgia" w:eastAsia="Georgia" w:hAnsi="Georgia"/>
          <w:b w:val="1"/>
          <w:bCs w:val="1"/>
          <w:sz w:val="38"/>
          <w:szCs w:val="38"/>
        </w:rPr>
      </w:pPr>
      <w:bookmarkStart w:colFirst="0" w:colLast="0" w:name="_syidpwimmdnk" w:id="12"/>
      <w:bookmarkEnd w:id="12"/>
      <w:r w:rsidDel="00000000" w:rsidR="00000000" w:rsidRPr="00000000">
        <w:rPr>
          <w:rFonts w:ascii="Georgia" w:cs="Georgia" w:eastAsia="Georgia" w:hAnsi="Georgia"/>
          <w:b w:val="1"/>
          <w:bCs w:val="1"/>
          <w:sz w:val="38"/>
          <w:szCs w:val="38"/>
          <w:rtl w:val="0"/>
        </w:rPr>
        <w:t xml:space="preserve">4.2 Contradictory Findings Used to Justify Exclusion</w:t>
      </w:r>
    </w:p>
    <w:p w:rsidR="00000000" w:rsidDel="00000000" w:rsidP="00000000" w:rsidRDefault="00000000" w:rsidRPr="00000000" w14:paraId="00000031">
      <w:pPr>
        <w:spacing w:after="240" w:before="240" w:lineRule="auto"/>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The Ombudsman’s conclusion that Ms Spence’s “only link” to Barclays was the mortgage¹⁴ contradicts her own findings that:</w:t>
      </w:r>
    </w:p>
    <w:p w:rsidR="00000000" w:rsidDel="00000000" w:rsidP="00000000" w:rsidRDefault="00000000" w:rsidRPr="00000000" w14:paraId="00000032">
      <w:pPr>
        <w:numPr>
          <w:ilvl w:val="0"/>
          <w:numId w:val="5"/>
        </w:numPr>
        <w:spacing w:after="0" w:afterAutospacing="0" w:before="240" w:lineRule="auto"/>
        <w:ind w:left="720" w:hanging="360"/>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Ms Spence registered an interest</w:t>
      </w:r>
    </w:p>
    <w:p w:rsidR="00000000" w:rsidDel="00000000" w:rsidP="00000000" w:rsidRDefault="00000000" w:rsidRPr="00000000" w14:paraId="00000033">
      <w:pPr>
        <w:numPr>
          <w:ilvl w:val="0"/>
          <w:numId w:val="5"/>
        </w:numPr>
        <w:spacing w:after="0" w:afterAutospacing="0" w:before="0" w:beforeAutospacing="0" w:lineRule="auto"/>
        <w:ind w:left="720" w:hanging="360"/>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received a statutory notice</w:t>
      </w:r>
    </w:p>
    <w:p w:rsidR="00000000" w:rsidDel="00000000" w:rsidP="00000000" w:rsidRDefault="00000000" w:rsidRPr="00000000" w14:paraId="00000034">
      <w:pPr>
        <w:numPr>
          <w:ilvl w:val="0"/>
          <w:numId w:val="5"/>
        </w:numPr>
        <w:spacing w:after="240" w:before="0" w:beforeAutospacing="0" w:lineRule="auto"/>
        <w:ind w:left="720" w:hanging="360"/>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had a right to object</w:t>
      </w:r>
    </w:p>
    <w:p w:rsidR="00000000" w:rsidDel="00000000" w:rsidP="00000000" w:rsidRDefault="00000000" w:rsidRPr="00000000" w14:paraId="00000035">
      <w:pPr>
        <w:spacing w:after="240" w:before="240" w:lineRule="auto"/>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This contradiction is a form of </w:t>
      </w:r>
      <w:r w:rsidDel="00000000" w:rsidR="00000000" w:rsidRPr="00000000">
        <w:rPr>
          <w:rFonts w:ascii="Georgia" w:cs="Georgia" w:eastAsia="Georgia" w:hAnsi="Georgia"/>
          <w:b w:val="1"/>
          <w:bCs w:val="1"/>
          <w:sz w:val="26"/>
          <w:szCs w:val="26"/>
          <w:rtl w:val="0"/>
        </w:rPr>
        <w:t xml:space="preserve">administrative minimisation</w:t>
      </w:r>
      <w:r w:rsidDel="00000000" w:rsidR="00000000" w:rsidRPr="00000000">
        <w:rPr>
          <w:rFonts w:ascii="Georgia" w:cs="Georgia" w:eastAsia="Georgia" w:hAnsi="Georgia"/>
          <w:sz w:val="26"/>
          <w:szCs w:val="26"/>
          <w:rtl w:val="0"/>
        </w:rPr>
        <w:t xml:space="preserve">, a mechanism through which Black complainants’ legal positions are diminished.¹⁵</w:t>
      </w:r>
    </w:p>
    <w:p w:rsidR="00000000" w:rsidDel="00000000" w:rsidP="00000000" w:rsidRDefault="00000000" w:rsidRPr="00000000" w14:paraId="00000036">
      <w:pPr>
        <w:pStyle w:val="Heading2"/>
        <w:keepNext w:val="0"/>
        <w:keepLines w:val="0"/>
        <w:spacing w:after="80" w:lineRule="auto"/>
        <w:rPr>
          <w:rFonts w:ascii="Georgia" w:cs="Georgia" w:eastAsia="Georgia" w:hAnsi="Georgia"/>
          <w:b w:val="1"/>
          <w:bCs w:val="1"/>
          <w:sz w:val="38"/>
          <w:szCs w:val="38"/>
        </w:rPr>
      </w:pPr>
      <w:bookmarkStart w:colFirst="0" w:colLast="0" w:name="_j7eepo2tr0r6" w:id="13"/>
      <w:bookmarkEnd w:id="13"/>
      <w:r w:rsidDel="00000000" w:rsidR="00000000" w:rsidRPr="00000000">
        <w:rPr>
          <w:rFonts w:ascii="Georgia" w:cs="Georgia" w:eastAsia="Georgia" w:hAnsi="Georgia"/>
          <w:b w:val="1"/>
          <w:bCs w:val="1"/>
          <w:sz w:val="38"/>
          <w:szCs w:val="38"/>
          <w:rtl w:val="0"/>
        </w:rPr>
        <w:t xml:space="preserve">4.3 Vulnerability Erasure</w:t>
      </w:r>
    </w:p>
    <w:p w:rsidR="00000000" w:rsidDel="00000000" w:rsidP="00000000" w:rsidRDefault="00000000" w:rsidRPr="00000000" w14:paraId="00000037">
      <w:pPr>
        <w:spacing w:after="240" w:before="240" w:lineRule="auto"/>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Despite clear evidence of homelessness and distress, the FOS:</w:t>
      </w:r>
    </w:p>
    <w:p w:rsidR="00000000" w:rsidDel="00000000" w:rsidP="00000000" w:rsidRDefault="00000000" w:rsidRPr="00000000" w14:paraId="00000038">
      <w:pPr>
        <w:numPr>
          <w:ilvl w:val="0"/>
          <w:numId w:val="3"/>
        </w:numPr>
        <w:spacing w:after="0" w:afterAutospacing="0" w:before="240" w:lineRule="auto"/>
        <w:ind w:left="720" w:hanging="360"/>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did not identify vulnerability</w:t>
      </w:r>
    </w:p>
    <w:p w:rsidR="00000000" w:rsidDel="00000000" w:rsidP="00000000" w:rsidRDefault="00000000" w:rsidRPr="00000000" w14:paraId="00000039">
      <w:pPr>
        <w:numPr>
          <w:ilvl w:val="0"/>
          <w:numId w:val="3"/>
        </w:numPr>
        <w:spacing w:after="0" w:afterAutospacing="0" w:before="0" w:beforeAutospacing="0" w:lineRule="auto"/>
        <w:ind w:left="720" w:hanging="360"/>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did not apply its mandatory policy</w:t>
      </w:r>
    </w:p>
    <w:p w:rsidR="00000000" w:rsidDel="00000000" w:rsidP="00000000" w:rsidRDefault="00000000" w:rsidRPr="00000000" w14:paraId="0000003A">
      <w:pPr>
        <w:numPr>
          <w:ilvl w:val="0"/>
          <w:numId w:val="3"/>
        </w:numPr>
        <w:spacing w:after="0" w:afterAutospacing="0" w:before="0" w:beforeAutospacing="0" w:lineRule="auto"/>
        <w:ind w:left="720" w:hanging="360"/>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did not adjust communication</w:t>
      </w:r>
    </w:p>
    <w:p w:rsidR="00000000" w:rsidDel="00000000" w:rsidP="00000000" w:rsidRDefault="00000000" w:rsidRPr="00000000" w14:paraId="0000003B">
      <w:pPr>
        <w:numPr>
          <w:ilvl w:val="0"/>
          <w:numId w:val="3"/>
        </w:numPr>
        <w:spacing w:after="240" w:before="0" w:beforeAutospacing="0" w:lineRule="auto"/>
        <w:ind w:left="720" w:hanging="360"/>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did not provide enhanced support</w:t>
      </w:r>
    </w:p>
    <w:p w:rsidR="00000000" w:rsidDel="00000000" w:rsidP="00000000" w:rsidRDefault="00000000" w:rsidRPr="00000000" w14:paraId="0000003C">
      <w:pPr>
        <w:spacing w:after="240" w:before="240" w:lineRule="auto"/>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Black complainants are disproportionately affected by vulnerability‑blind processes.¹⁶ The omission constitutes a </w:t>
      </w:r>
      <w:r w:rsidDel="00000000" w:rsidR="00000000" w:rsidRPr="00000000">
        <w:rPr>
          <w:rFonts w:ascii="Georgia" w:cs="Georgia" w:eastAsia="Georgia" w:hAnsi="Georgia"/>
          <w:b w:val="1"/>
          <w:bCs w:val="1"/>
          <w:sz w:val="26"/>
          <w:szCs w:val="26"/>
          <w:rtl w:val="0"/>
        </w:rPr>
        <w:t xml:space="preserve">racially aggravated procedural failure</w:t>
      </w:r>
      <w:r w:rsidDel="00000000" w:rsidR="00000000" w:rsidRPr="00000000">
        <w:rPr>
          <w:rFonts w:ascii="Georgia" w:cs="Georgia" w:eastAsia="Georgia" w:hAnsi="Georgia"/>
          <w:sz w:val="26"/>
          <w:szCs w:val="26"/>
          <w:rtl w:val="0"/>
        </w:rPr>
        <w:t xml:space="preserve">.</w:t>
      </w:r>
    </w:p>
    <w:p w:rsidR="00000000" w:rsidDel="00000000" w:rsidP="00000000" w:rsidRDefault="00000000" w:rsidRPr="00000000" w14:paraId="0000003D">
      <w:pPr>
        <w:pStyle w:val="Heading2"/>
        <w:keepNext w:val="0"/>
        <w:keepLines w:val="0"/>
        <w:spacing w:after="80" w:lineRule="auto"/>
        <w:rPr>
          <w:rFonts w:ascii="Georgia" w:cs="Georgia" w:eastAsia="Georgia" w:hAnsi="Georgia"/>
          <w:b w:val="1"/>
          <w:bCs w:val="1"/>
          <w:sz w:val="38"/>
          <w:szCs w:val="38"/>
        </w:rPr>
      </w:pPr>
      <w:bookmarkStart w:colFirst="0" w:colLast="0" w:name="_x5mhylk7qmt5" w:id="14"/>
      <w:bookmarkEnd w:id="14"/>
      <w:r w:rsidDel="00000000" w:rsidR="00000000" w:rsidRPr="00000000">
        <w:rPr>
          <w:rFonts w:ascii="Georgia" w:cs="Georgia" w:eastAsia="Georgia" w:hAnsi="Georgia"/>
          <w:b w:val="1"/>
          <w:bCs w:val="1"/>
          <w:sz w:val="38"/>
          <w:szCs w:val="38"/>
          <w:rtl w:val="0"/>
        </w:rPr>
        <w:t xml:space="preserve">4.4 Structural Conflict of Interest in Internal Review</w:t>
      </w:r>
    </w:p>
    <w:p w:rsidR="00000000" w:rsidDel="00000000" w:rsidP="00000000" w:rsidRDefault="00000000" w:rsidRPr="00000000" w14:paraId="0000003E">
      <w:pPr>
        <w:spacing w:after="240" w:before="240" w:lineRule="auto"/>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The internal service‑complaint response was issued by a manager who stated:</w:t>
      </w:r>
    </w:p>
    <w:p w:rsidR="00000000" w:rsidDel="00000000" w:rsidP="00000000" w:rsidRDefault="00000000" w:rsidRPr="00000000" w14:paraId="0000003F">
      <w:pPr>
        <w:spacing w:after="240" w:before="240" w:lineRule="auto"/>
        <w:ind w:left="600" w:right="600" w:firstLine="0"/>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“I manage the Ombudsman that issued the decision.”¹⁷</w:t>
      </w:r>
    </w:p>
    <w:p w:rsidR="00000000" w:rsidDel="00000000" w:rsidP="00000000" w:rsidRDefault="00000000" w:rsidRPr="00000000" w14:paraId="00000040">
      <w:pPr>
        <w:spacing w:after="240" w:before="240" w:lineRule="auto"/>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This is a </w:t>
      </w:r>
      <w:r w:rsidDel="00000000" w:rsidR="00000000" w:rsidRPr="00000000">
        <w:rPr>
          <w:rFonts w:ascii="Georgia" w:cs="Georgia" w:eastAsia="Georgia" w:hAnsi="Georgia"/>
          <w:b w:val="1"/>
          <w:bCs w:val="1"/>
          <w:sz w:val="26"/>
          <w:szCs w:val="26"/>
          <w:rtl w:val="0"/>
        </w:rPr>
        <w:t xml:space="preserve">governance defect</w:t>
      </w:r>
      <w:r w:rsidDel="00000000" w:rsidR="00000000" w:rsidRPr="00000000">
        <w:rPr>
          <w:rFonts w:ascii="Georgia" w:cs="Georgia" w:eastAsia="Georgia" w:hAnsi="Georgia"/>
          <w:sz w:val="26"/>
          <w:szCs w:val="26"/>
          <w:rtl w:val="0"/>
        </w:rPr>
        <w:t xml:space="preserve">. In racially aggravated risk analysis, such defects disproportionately harm Black complainants because institutional self‑protection overrides fairness.¹⁸</w:t>
      </w:r>
    </w:p>
    <w:p w:rsidR="00000000" w:rsidDel="00000000" w:rsidP="00000000" w:rsidRDefault="00000000" w:rsidRPr="00000000" w14:paraId="00000041">
      <w:pPr>
        <w:pStyle w:val="Heading2"/>
        <w:keepNext w:val="0"/>
        <w:keepLines w:val="0"/>
        <w:spacing w:after="80" w:lineRule="auto"/>
        <w:rPr>
          <w:rFonts w:ascii="Georgia" w:cs="Georgia" w:eastAsia="Georgia" w:hAnsi="Georgia"/>
          <w:b w:val="1"/>
          <w:bCs w:val="1"/>
          <w:sz w:val="38"/>
          <w:szCs w:val="38"/>
        </w:rPr>
      </w:pPr>
      <w:bookmarkStart w:colFirst="0" w:colLast="0" w:name="_rx1xjk950qd" w:id="15"/>
      <w:bookmarkEnd w:id="15"/>
      <w:r w:rsidDel="00000000" w:rsidR="00000000" w:rsidRPr="00000000">
        <w:rPr>
          <w:rFonts w:ascii="Georgia" w:cs="Georgia" w:eastAsia="Georgia" w:hAnsi="Georgia"/>
          <w:b w:val="1"/>
          <w:bCs w:val="1"/>
          <w:sz w:val="38"/>
          <w:szCs w:val="38"/>
          <w:rtl w:val="0"/>
        </w:rPr>
        <w:t xml:space="preserve">4.5 Misleading Escalation Information</w:t>
      </w:r>
    </w:p>
    <w:p w:rsidR="00000000" w:rsidDel="00000000" w:rsidP="00000000" w:rsidRDefault="00000000" w:rsidRPr="00000000" w14:paraId="00000042">
      <w:pPr>
        <w:spacing w:after="240" w:before="240" w:lineRule="auto"/>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Senior Investigator Eva Myers wrote:</w:t>
      </w:r>
    </w:p>
    <w:p w:rsidR="00000000" w:rsidDel="00000000" w:rsidP="00000000" w:rsidRDefault="00000000" w:rsidRPr="00000000" w14:paraId="00000043">
      <w:pPr>
        <w:spacing w:after="240" w:before="240" w:lineRule="auto"/>
        <w:ind w:left="600" w:right="600" w:firstLine="0"/>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“We can’t take things any further.”¹⁹</w:t>
      </w:r>
    </w:p>
    <w:p w:rsidR="00000000" w:rsidDel="00000000" w:rsidP="00000000" w:rsidRDefault="00000000" w:rsidRPr="00000000" w14:paraId="00000044">
      <w:pPr>
        <w:spacing w:after="240" w:before="240" w:lineRule="auto"/>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This is misleading because the Independent Assessor </w:t>
      </w:r>
      <w:r w:rsidDel="00000000" w:rsidR="00000000" w:rsidRPr="00000000">
        <w:rPr>
          <w:rFonts w:ascii="Georgia" w:cs="Georgia" w:eastAsia="Georgia" w:hAnsi="Georgia"/>
          <w:i w:val="1"/>
          <w:iCs w:val="1"/>
          <w:sz w:val="26"/>
          <w:szCs w:val="26"/>
          <w:rtl w:val="0"/>
        </w:rPr>
        <w:t xml:space="preserve">can</w:t>
      </w:r>
      <w:r w:rsidDel="00000000" w:rsidR="00000000" w:rsidRPr="00000000">
        <w:rPr>
          <w:rFonts w:ascii="Georgia" w:cs="Georgia" w:eastAsia="Georgia" w:hAnsi="Georgia"/>
          <w:sz w:val="26"/>
          <w:szCs w:val="26"/>
          <w:rtl w:val="0"/>
        </w:rPr>
        <w:t xml:space="preserve"> review service failures. Misleading procedural information is a documented feature of racially aggravated risk, where Black complainants are more likely to be </w:t>
      </w:r>
      <w:r w:rsidDel="00000000" w:rsidR="00000000" w:rsidRPr="00000000">
        <w:rPr>
          <w:rFonts w:ascii="Georgia" w:cs="Georgia" w:eastAsia="Georgia" w:hAnsi="Georgia"/>
          <w:b w:val="1"/>
          <w:bCs w:val="1"/>
          <w:sz w:val="26"/>
          <w:szCs w:val="26"/>
          <w:rtl w:val="0"/>
        </w:rPr>
        <w:t xml:space="preserve">discouraged from escalating</w:t>
      </w:r>
      <w:r w:rsidDel="00000000" w:rsidR="00000000" w:rsidRPr="00000000">
        <w:rPr>
          <w:rFonts w:ascii="Georgia" w:cs="Georgia" w:eastAsia="Georgia" w:hAnsi="Georgia"/>
          <w:sz w:val="26"/>
          <w:szCs w:val="26"/>
          <w:rtl w:val="0"/>
        </w:rPr>
        <w:t xml:space="preserve">.²⁰</w:t>
      </w:r>
    </w:p>
    <w:p w:rsidR="00000000" w:rsidDel="00000000" w:rsidP="00000000" w:rsidRDefault="00000000" w:rsidRPr="00000000" w14:paraId="00000045">
      <w:pPr>
        <w:pStyle w:val="Heading2"/>
        <w:keepNext w:val="0"/>
        <w:keepLines w:val="0"/>
        <w:spacing w:after="80" w:lineRule="auto"/>
        <w:rPr>
          <w:rFonts w:ascii="Georgia" w:cs="Georgia" w:eastAsia="Georgia" w:hAnsi="Georgia"/>
          <w:b w:val="1"/>
          <w:bCs w:val="1"/>
          <w:sz w:val="38"/>
          <w:szCs w:val="38"/>
        </w:rPr>
      </w:pPr>
      <w:bookmarkStart w:colFirst="0" w:colLast="0" w:name="_8nnwpc1m58yh" w:id="16"/>
      <w:bookmarkEnd w:id="16"/>
      <w:r w:rsidDel="00000000" w:rsidR="00000000" w:rsidRPr="00000000">
        <w:rPr>
          <w:rFonts w:ascii="Georgia" w:cs="Georgia" w:eastAsia="Georgia" w:hAnsi="Georgia"/>
          <w:b w:val="1"/>
          <w:bCs w:val="1"/>
          <w:sz w:val="38"/>
          <w:szCs w:val="38"/>
          <w:rtl w:val="0"/>
        </w:rPr>
        <w:t xml:space="preserve">4.6 Rushed Internal Review After IA Contact</w:t>
      </w:r>
    </w:p>
    <w:p w:rsidR="00000000" w:rsidDel="00000000" w:rsidP="00000000" w:rsidRDefault="00000000" w:rsidRPr="00000000" w14:paraId="00000046">
      <w:pPr>
        <w:spacing w:after="240" w:before="240" w:lineRule="auto"/>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The internal service‑complaint outcome was issued </w:t>
      </w:r>
      <w:r w:rsidDel="00000000" w:rsidR="00000000" w:rsidRPr="00000000">
        <w:rPr>
          <w:rFonts w:ascii="Georgia" w:cs="Georgia" w:eastAsia="Georgia" w:hAnsi="Georgia"/>
          <w:b w:val="1"/>
          <w:bCs w:val="1"/>
          <w:sz w:val="26"/>
          <w:szCs w:val="26"/>
          <w:rtl w:val="0"/>
        </w:rPr>
        <w:t xml:space="preserve">three days</w:t>
      </w:r>
      <w:r w:rsidDel="00000000" w:rsidR="00000000" w:rsidRPr="00000000">
        <w:rPr>
          <w:rFonts w:ascii="Georgia" w:cs="Georgia" w:eastAsia="Georgia" w:hAnsi="Georgia"/>
          <w:sz w:val="26"/>
          <w:szCs w:val="26"/>
          <w:rtl w:val="0"/>
        </w:rPr>
        <w:t xml:space="preserve"> after submission.²¹ This occurred after the Independent Assessor had already been contacted.²² The timing suggests an attempt to:</w:t>
      </w:r>
    </w:p>
    <w:p w:rsidR="00000000" w:rsidDel="00000000" w:rsidP="00000000" w:rsidRDefault="00000000" w:rsidRPr="00000000" w14:paraId="00000047">
      <w:pPr>
        <w:numPr>
          <w:ilvl w:val="0"/>
          <w:numId w:val="6"/>
        </w:numPr>
        <w:spacing w:after="0" w:afterAutospacing="0" w:before="240" w:lineRule="auto"/>
        <w:ind w:left="720" w:hanging="360"/>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close the file</w:t>
      </w:r>
    </w:p>
    <w:p w:rsidR="00000000" w:rsidDel="00000000" w:rsidP="00000000" w:rsidRDefault="00000000" w:rsidRPr="00000000" w14:paraId="00000048">
      <w:pPr>
        <w:numPr>
          <w:ilvl w:val="0"/>
          <w:numId w:val="6"/>
        </w:numPr>
        <w:spacing w:after="0" w:afterAutospacing="0" w:before="0" w:beforeAutospacing="0" w:lineRule="auto"/>
        <w:ind w:left="720" w:hanging="360"/>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pre‑empt IA involvement</w:t>
      </w:r>
    </w:p>
    <w:p w:rsidR="00000000" w:rsidDel="00000000" w:rsidP="00000000" w:rsidRDefault="00000000" w:rsidRPr="00000000" w14:paraId="00000049">
      <w:pPr>
        <w:numPr>
          <w:ilvl w:val="0"/>
          <w:numId w:val="6"/>
        </w:numPr>
        <w:spacing w:after="240" w:before="0" w:beforeAutospacing="0" w:lineRule="auto"/>
        <w:ind w:left="720" w:hanging="360"/>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protect institutional actors</w:t>
      </w:r>
    </w:p>
    <w:p w:rsidR="00000000" w:rsidDel="00000000" w:rsidP="00000000" w:rsidRDefault="00000000" w:rsidRPr="00000000" w14:paraId="0000004A">
      <w:pPr>
        <w:spacing w:after="240" w:before="240" w:lineRule="auto"/>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This behaviour aligns with the “institutional defensiveness” component of racially aggravated procedural risk.²³</w:t>
      </w:r>
    </w:p>
    <w:p w:rsidR="00000000" w:rsidDel="00000000" w:rsidP="00000000" w:rsidRDefault="00000000" w:rsidRPr="00000000" w14:paraId="0000004B">
      <w:pPr>
        <w:rPr>
          <w:rFonts w:ascii="Georgia" w:cs="Georgia" w:eastAsia="Georgia" w:hAnsi="Georgia"/>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C">
      <w:pPr>
        <w:pStyle w:val="Heading1"/>
        <w:keepNext w:val="0"/>
        <w:keepLines w:val="0"/>
        <w:spacing w:before="480" w:lineRule="auto"/>
        <w:rPr>
          <w:rFonts w:ascii="Georgia" w:cs="Georgia" w:eastAsia="Georgia" w:hAnsi="Georgia"/>
          <w:b w:val="1"/>
          <w:bCs w:val="1"/>
          <w:sz w:val="50"/>
          <w:szCs w:val="50"/>
        </w:rPr>
      </w:pPr>
      <w:bookmarkStart w:colFirst="0" w:colLast="0" w:name="_1ulrst1nizig" w:id="17"/>
      <w:bookmarkEnd w:id="17"/>
      <w:r w:rsidDel="00000000" w:rsidR="00000000" w:rsidRPr="00000000">
        <w:rPr>
          <w:rFonts w:ascii="Georgia" w:cs="Georgia" w:eastAsia="Georgia" w:hAnsi="Georgia"/>
          <w:b w:val="1"/>
          <w:bCs w:val="1"/>
          <w:sz w:val="50"/>
          <w:szCs w:val="50"/>
          <w:rtl w:val="0"/>
        </w:rPr>
        <w:t xml:space="preserve">5. Doctrinal Analysis</w:t>
      </w:r>
    </w:p>
    <w:p w:rsidR="00000000" w:rsidDel="00000000" w:rsidP="00000000" w:rsidRDefault="00000000" w:rsidRPr="00000000" w14:paraId="0000004D">
      <w:pPr>
        <w:spacing w:after="240" w:before="240" w:lineRule="auto"/>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The case demonstrates the following doctrinal mechanisms:</w:t>
      </w:r>
    </w:p>
    <w:p w:rsidR="00000000" w:rsidDel="00000000" w:rsidP="00000000" w:rsidRDefault="00000000" w:rsidRPr="00000000" w14:paraId="0000004E">
      <w:pPr>
        <w:pStyle w:val="Heading3"/>
        <w:keepNext w:val="0"/>
        <w:keepLines w:val="0"/>
        <w:spacing w:before="280" w:lineRule="auto"/>
        <w:rPr>
          <w:rFonts w:ascii="Georgia" w:cs="Georgia" w:eastAsia="Georgia" w:hAnsi="Georgia"/>
          <w:b w:val="1"/>
          <w:bCs w:val="1"/>
          <w:color w:val="000000"/>
          <w:sz w:val="30"/>
          <w:szCs w:val="30"/>
        </w:rPr>
      </w:pPr>
      <w:bookmarkStart w:colFirst="0" w:colLast="0" w:name="_u3812w3mzyp3" w:id="18"/>
      <w:bookmarkEnd w:id="18"/>
      <w:r w:rsidDel="00000000" w:rsidR="00000000" w:rsidRPr="00000000">
        <w:rPr>
          <w:rFonts w:ascii="Georgia" w:cs="Georgia" w:eastAsia="Georgia" w:hAnsi="Georgia"/>
          <w:b w:val="1"/>
          <w:bCs w:val="1"/>
          <w:color w:val="000000"/>
          <w:sz w:val="30"/>
          <w:szCs w:val="30"/>
          <w:rtl w:val="0"/>
        </w:rPr>
        <w:t xml:space="preserve">5.1 Evidential Devaluation</w:t>
      </w:r>
    </w:p>
    <w:p w:rsidR="00000000" w:rsidDel="00000000" w:rsidP="00000000" w:rsidRDefault="00000000" w:rsidRPr="00000000" w14:paraId="0000004F">
      <w:pPr>
        <w:spacing w:after="240" w:before="240" w:lineRule="auto"/>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Black complainants’ submissions are treated as inherently less credible.²⁴</w:t>
      </w:r>
    </w:p>
    <w:p w:rsidR="00000000" w:rsidDel="00000000" w:rsidP="00000000" w:rsidRDefault="00000000" w:rsidRPr="00000000" w14:paraId="00000050">
      <w:pPr>
        <w:pStyle w:val="Heading3"/>
        <w:keepNext w:val="0"/>
        <w:keepLines w:val="0"/>
        <w:spacing w:before="280" w:lineRule="auto"/>
        <w:rPr>
          <w:rFonts w:ascii="Georgia" w:cs="Georgia" w:eastAsia="Georgia" w:hAnsi="Georgia"/>
          <w:b w:val="1"/>
          <w:bCs w:val="1"/>
          <w:color w:val="000000"/>
          <w:sz w:val="30"/>
          <w:szCs w:val="30"/>
        </w:rPr>
      </w:pPr>
      <w:bookmarkStart w:colFirst="0" w:colLast="0" w:name="_w7abnwmpwlq7" w:id="19"/>
      <w:bookmarkEnd w:id="19"/>
      <w:r w:rsidDel="00000000" w:rsidR="00000000" w:rsidRPr="00000000">
        <w:rPr>
          <w:rFonts w:ascii="Georgia" w:cs="Georgia" w:eastAsia="Georgia" w:hAnsi="Georgia"/>
          <w:b w:val="1"/>
          <w:bCs w:val="1"/>
          <w:color w:val="000000"/>
          <w:sz w:val="30"/>
          <w:szCs w:val="30"/>
          <w:rtl w:val="0"/>
        </w:rPr>
        <w:t xml:space="preserve">5.2 Procedural Gatekeeping</w:t>
      </w:r>
    </w:p>
    <w:p w:rsidR="00000000" w:rsidDel="00000000" w:rsidP="00000000" w:rsidRDefault="00000000" w:rsidRPr="00000000" w14:paraId="00000051">
      <w:pPr>
        <w:spacing w:after="240" w:before="240" w:lineRule="auto"/>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Jurisdictional rules are applied narrowly to exclude the complainant.²⁵</w:t>
      </w:r>
    </w:p>
    <w:p w:rsidR="00000000" w:rsidDel="00000000" w:rsidP="00000000" w:rsidRDefault="00000000" w:rsidRPr="00000000" w14:paraId="00000052">
      <w:pPr>
        <w:pStyle w:val="Heading3"/>
        <w:keepNext w:val="0"/>
        <w:keepLines w:val="0"/>
        <w:spacing w:before="280" w:lineRule="auto"/>
        <w:rPr>
          <w:rFonts w:ascii="Georgia" w:cs="Georgia" w:eastAsia="Georgia" w:hAnsi="Georgia"/>
          <w:b w:val="1"/>
          <w:bCs w:val="1"/>
          <w:color w:val="000000"/>
          <w:sz w:val="30"/>
          <w:szCs w:val="30"/>
        </w:rPr>
      </w:pPr>
      <w:bookmarkStart w:colFirst="0" w:colLast="0" w:name="_mkm1xrus780z" w:id="20"/>
      <w:bookmarkEnd w:id="20"/>
      <w:r w:rsidDel="00000000" w:rsidR="00000000" w:rsidRPr="00000000">
        <w:rPr>
          <w:rFonts w:ascii="Georgia" w:cs="Georgia" w:eastAsia="Georgia" w:hAnsi="Georgia"/>
          <w:b w:val="1"/>
          <w:bCs w:val="1"/>
          <w:color w:val="000000"/>
          <w:sz w:val="30"/>
          <w:szCs w:val="30"/>
          <w:rtl w:val="0"/>
        </w:rPr>
        <w:t xml:space="preserve">5.3 Administrative Minimisation</w:t>
      </w:r>
    </w:p>
    <w:p w:rsidR="00000000" w:rsidDel="00000000" w:rsidP="00000000" w:rsidRDefault="00000000" w:rsidRPr="00000000" w14:paraId="00000053">
      <w:pPr>
        <w:spacing w:after="240" w:before="240" w:lineRule="auto"/>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Key facts supporting the complainant’s position are omitted or contradicted.²⁶</w:t>
      </w:r>
    </w:p>
    <w:p w:rsidR="00000000" w:rsidDel="00000000" w:rsidP="00000000" w:rsidRDefault="00000000" w:rsidRPr="00000000" w14:paraId="00000054">
      <w:pPr>
        <w:pStyle w:val="Heading3"/>
        <w:keepNext w:val="0"/>
        <w:keepLines w:val="0"/>
        <w:spacing w:before="280" w:lineRule="auto"/>
        <w:rPr>
          <w:rFonts w:ascii="Georgia" w:cs="Georgia" w:eastAsia="Georgia" w:hAnsi="Georgia"/>
          <w:b w:val="1"/>
          <w:bCs w:val="1"/>
          <w:color w:val="000000"/>
          <w:sz w:val="30"/>
          <w:szCs w:val="30"/>
        </w:rPr>
      </w:pPr>
      <w:bookmarkStart w:colFirst="0" w:colLast="0" w:name="_ws7xobsm6ez4" w:id="21"/>
      <w:bookmarkEnd w:id="21"/>
      <w:r w:rsidDel="00000000" w:rsidR="00000000" w:rsidRPr="00000000">
        <w:rPr>
          <w:rFonts w:ascii="Georgia" w:cs="Georgia" w:eastAsia="Georgia" w:hAnsi="Georgia"/>
          <w:b w:val="1"/>
          <w:bCs w:val="1"/>
          <w:color w:val="000000"/>
          <w:sz w:val="30"/>
          <w:szCs w:val="30"/>
          <w:rtl w:val="0"/>
        </w:rPr>
        <w:t xml:space="preserve">5.4 Vulnerability Erasure</w:t>
      </w:r>
    </w:p>
    <w:p w:rsidR="00000000" w:rsidDel="00000000" w:rsidP="00000000" w:rsidRDefault="00000000" w:rsidRPr="00000000" w14:paraId="00000055">
      <w:pPr>
        <w:spacing w:after="240" w:before="240" w:lineRule="auto"/>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Mandatory vulnerability obligations are ignored.²⁷</w:t>
      </w:r>
    </w:p>
    <w:p w:rsidR="00000000" w:rsidDel="00000000" w:rsidP="00000000" w:rsidRDefault="00000000" w:rsidRPr="00000000" w14:paraId="00000056">
      <w:pPr>
        <w:pStyle w:val="Heading3"/>
        <w:keepNext w:val="0"/>
        <w:keepLines w:val="0"/>
        <w:spacing w:before="280" w:lineRule="auto"/>
        <w:rPr>
          <w:rFonts w:ascii="Georgia" w:cs="Georgia" w:eastAsia="Georgia" w:hAnsi="Georgia"/>
          <w:b w:val="1"/>
          <w:bCs w:val="1"/>
          <w:color w:val="000000"/>
          <w:sz w:val="30"/>
          <w:szCs w:val="30"/>
        </w:rPr>
      </w:pPr>
      <w:bookmarkStart w:colFirst="0" w:colLast="0" w:name="_2o8w47kvlckk" w:id="22"/>
      <w:bookmarkEnd w:id="22"/>
      <w:r w:rsidDel="00000000" w:rsidR="00000000" w:rsidRPr="00000000">
        <w:rPr>
          <w:rFonts w:ascii="Georgia" w:cs="Georgia" w:eastAsia="Georgia" w:hAnsi="Georgia"/>
          <w:b w:val="1"/>
          <w:bCs w:val="1"/>
          <w:color w:val="000000"/>
          <w:sz w:val="30"/>
          <w:szCs w:val="30"/>
          <w:rtl w:val="0"/>
        </w:rPr>
        <w:t xml:space="preserve">5.5 Institutional Self‑Protection</w:t>
      </w:r>
    </w:p>
    <w:p w:rsidR="00000000" w:rsidDel="00000000" w:rsidP="00000000" w:rsidRDefault="00000000" w:rsidRPr="00000000" w14:paraId="00000057">
      <w:pPr>
        <w:spacing w:after="240" w:before="240" w:lineRule="auto"/>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Internal review is conducted by a manager of the decision‑maker.²⁸</w:t>
      </w:r>
    </w:p>
    <w:p w:rsidR="00000000" w:rsidDel="00000000" w:rsidP="00000000" w:rsidRDefault="00000000" w:rsidRPr="00000000" w14:paraId="00000058">
      <w:pPr>
        <w:pStyle w:val="Heading3"/>
        <w:keepNext w:val="0"/>
        <w:keepLines w:val="0"/>
        <w:spacing w:before="280" w:lineRule="auto"/>
        <w:rPr>
          <w:rFonts w:ascii="Georgia" w:cs="Georgia" w:eastAsia="Georgia" w:hAnsi="Georgia"/>
          <w:b w:val="1"/>
          <w:bCs w:val="1"/>
          <w:color w:val="000000"/>
          <w:sz w:val="30"/>
          <w:szCs w:val="30"/>
        </w:rPr>
      </w:pPr>
      <w:bookmarkStart w:colFirst="0" w:colLast="0" w:name="_bboayau5xygh" w:id="23"/>
      <w:bookmarkEnd w:id="23"/>
      <w:r w:rsidDel="00000000" w:rsidR="00000000" w:rsidRPr="00000000">
        <w:rPr>
          <w:rFonts w:ascii="Georgia" w:cs="Georgia" w:eastAsia="Georgia" w:hAnsi="Georgia"/>
          <w:b w:val="1"/>
          <w:bCs w:val="1"/>
          <w:color w:val="000000"/>
          <w:sz w:val="30"/>
          <w:szCs w:val="30"/>
          <w:rtl w:val="0"/>
        </w:rPr>
        <w:t xml:space="preserve">5.6 Escalation Deterrence</w:t>
      </w:r>
    </w:p>
    <w:p w:rsidR="00000000" w:rsidDel="00000000" w:rsidP="00000000" w:rsidRDefault="00000000" w:rsidRPr="00000000" w14:paraId="00000059">
      <w:pPr>
        <w:spacing w:after="240" w:before="240" w:lineRule="auto"/>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Communications imply no further review is possible.²⁹</w:t>
      </w:r>
    </w:p>
    <w:p w:rsidR="00000000" w:rsidDel="00000000" w:rsidP="00000000" w:rsidRDefault="00000000" w:rsidRPr="00000000" w14:paraId="0000005A">
      <w:pPr>
        <w:spacing w:after="240" w:before="240" w:lineRule="auto"/>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These mechanisms collectively constitute </w:t>
      </w:r>
      <w:r w:rsidDel="00000000" w:rsidR="00000000" w:rsidRPr="00000000">
        <w:rPr>
          <w:rFonts w:ascii="Georgia" w:cs="Georgia" w:eastAsia="Georgia" w:hAnsi="Georgia"/>
          <w:b w:val="1"/>
          <w:bCs w:val="1"/>
          <w:sz w:val="26"/>
          <w:szCs w:val="26"/>
          <w:rtl w:val="0"/>
        </w:rPr>
        <w:t xml:space="preserve">racially aggravated procedural risk</w:t>
      </w:r>
      <w:r w:rsidDel="00000000" w:rsidR="00000000" w:rsidRPr="00000000">
        <w:rPr>
          <w:rFonts w:ascii="Georgia" w:cs="Georgia" w:eastAsia="Georgia" w:hAnsi="Georgia"/>
          <w:sz w:val="26"/>
          <w:szCs w:val="26"/>
          <w:rtl w:val="0"/>
        </w:rPr>
        <w:t xml:space="preserve">.</w:t>
      </w:r>
    </w:p>
    <w:p w:rsidR="00000000" w:rsidDel="00000000" w:rsidP="00000000" w:rsidRDefault="00000000" w:rsidRPr="00000000" w14:paraId="0000005B">
      <w:pPr>
        <w:rPr>
          <w:rFonts w:ascii="Georgia" w:cs="Georgia" w:eastAsia="Georgia" w:hAnsi="Georgia"/>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C">
      <w:pPr>
        <w:pStyle w:val="Heading1"/>
        <w:keepNext w:val="0"/>
        <w:keepLines w:val="0"/>
        <w:spacing w:before="480" w:lineRule="auto"/>
        <w:rPr>
          <w:rFonts w:ascii="Georgia" w:cs="Georgia" w:eastAsia="Georgia" w:hAnsi="Georgia"/>
          <w:b w:val="1"/>
          <w:bCs w:val="1"/>
          <w:sz w:val="50"/>
          <w:szCs w:val="50"/>
        </w:rPr>
      </w:pPr>
      <w:bookmarkStart w:colFirst="0" w:colLast="0" w:name="_2loev0cynm0p" w:id="24"/>
      <w:bookmarkEnd w:id="24"/>
      <w:r w:rsidDel="00000000" w:rsidR="00000000" w:rsidRPr="00000000">
        <w:rPr>
          <w:rFonts w:ascii="Georgia" w:cs="Georgia" w:eastAsia="Georgia" w:hAnsi="Georgia"/>
          <w:b w:val="1"/>
          <w:bCs w:val="1"/>
          <w:sz w:val="50"/>
          <w:szCs w:val="50"/>
          <w:rtl w:val="0"/>
        </w:rPr>
        <w:t xml:space="preserve">6. Conclusion</w:t>
      </w:r>
    </w:p>
    <w:p w:rsidR="00000000" w:rsidDel="00000000" w:rsidP="00000000" w:rsidRDefault="00000000" w:rsidRPr="00000000" w14:paraId="0000005D">
      <w:pPr>
        <w:spacing w:after="240" w:before="240" w:lineRule="auto"/>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This case provides a clear, documented example of racially aggravated procedural risk within the Financial Ombudsman Service. The combination of evidential dismissal, contradictory reasoning, vulnerability erasure, misleading communication, and structurally compromised internal review demonstrates a pattern of institutional behaviour that disproportionately disadvantages Black complainants.</w:t>
      </w:r>
    </w:p>
    <w:p w:rsidR="00000000" w:rsidDel="00000000" w:rsidP="00000000" w:rsidRDefault="00000000" w:rsidRPr="00000000" w14:paraId="0000005E">
      <w:pPr>
        <w:spacing w:after="240" w:before="240" w:lineRule="auto"/>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The case is therefore suitable for inclusion in the Black Justice Research Library and contributes to the broader scholarly understanding of racialised harm within administrative justice.</w:t>
      </w:r>
    </w:p>
    <w:p w:rsidR="00000000" w:rsidDel="00000000" w:rsidP="00000000" w:rsidRDefault="00000000" w:rsidRPr="00000000" w14:paraId="0000005F">
      <w:pPr>
        <w:rPr>
          <w:rFonts w:ascii="Georgia" w:cs="Georgia" w:eastAsia="Georgia" w:hAnsi="Georgia"/>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0">
      <w:pPr>
        <w:pStyle w:val="Heading1"/>
        <w:keepNext w:val="0"/>
        <w:keepLines w:val="0"/>
        <w:spacing w:before="480" w:lineRule="auto"/>
        <w:rPr>
          <w:rFonts w:ascii="Georgia" w:cs="Georgia" w:eastAsia="Georgia" w:hAnsi="Georgia"/>
          <w:b w:val="1"/>
          <w:bCs w:val="1"/>
          <w:sz w:val="50"/>
          <w:szCs w:val="50"/>
        </w:rPr>
      </w:pPr>
      <w:bookmarkStart w:colFirst="0" w:colLast="0" w:name="_9spvhrpzc3kg" w:id="25"/>
      <w:bookmarkEnd w:id="25"/>
      <w:r w:rsidDel="00000000" w:rsidR="00000000" w:rsidRPr="00000000">
        <w:rPr>
          <w:rFonts w:ascii="Georgia" w:cs="Georgia" w:eastAsia="Georgia" w:hAnsi="Georgia"/>
          <w:b w:val="1"/>
          <w:bCs w:val="1"/>
          <w:sz w:val="50"/>
          <w:szCs w:val="50"/>
          <w:rtl w:val="0"/>
        </w:rPr>
        <w:t xml:space="preserve">Footnotes</w:t>
      </w:r>
    </w:p>
    <w:p w:rsidR="00000000" w:rsidDel="00000000" w:rsidP="00000000" w:rsidRDefault="00000000" w:rsidRPr="00000000" w14:paraId="00000061">
      <w:pPr>
        <w:numPr>
          <w:ilvl w:val="0"/>
          <w:numId w:val="2"/>
        </w:numPr>
        <w:spacing w:after="0" w:afterAutospacing="0" w:before="240" w:lineRule="auto"/>
        <w:ind w:left="720" w:hanging="360"/>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Black Justice Research Centre, </w:t>
      </w:r>
      <w:r w:rsidDel="00000000" w:rsidR="00000000" w:rsidRPr="00000000">
        <w:rPr>
          <w:rFonts w:ascii="Georgia" w:cs="Georgia" w:eastAsia="Georgia" w:hAnsi="Georgia"/>
          <w:i w:val="1"/>
          <w:iCs w:val="1"/>
          <w:sz w:val="26"/>
          <w:szCs w:val="26"/>
          <w:rtl w:val="0"/>
        </w:rPr>
        <w:t xml:space="preserve">Doctrinal Framework on Racially Aggravated Procedural Risk</w:t>
      </w:r>
      <w:r w:rsidDel="00000000" w:rsidR="00000000" w:rsidRPr="00000000">
        <w:rPr>
          <w:rFonts w:ascii="Georgia" w:cs="Georgia" w:eastAsia="Georgia" w:hAnsi="Georgia"/>
          <w:sz w:val="26"/>
          <w:szCs w:val="26"/>
          <w:rtl w:val="0"/>
        </w:rPr>
        <w:t xml:space="preserve"> (forthcoming).</w:t>
      </w:r>
    </w:p>
    <w:p w:rsidR="00000000" w:rsidDel="00000000" w:rsidP="00000000" w:rsidRDefault="00000000" w:rsidRPr="00000000" w14:paraId="00000062">
      <w:pPr>
        <w:numPr>
          <w:ilvl w:val="0"/>
          <w:numId w:val="2"/>
        </w:numPr>
        <w:spacing w:after="0" w:afterAutospacing="0" w:before="0" w:beforeAutospacing="0" w:lineRule="auto"/>
        <w:ind w:left="720" w:hanging="360"/>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Ombudsman’s Decision, p.1.</w:t>
      </w:r>
    </w:p>
    <w:p w:rsidR="00000000" w:rsidDel="00000000" w:rsidP="00000000" w:rsidRDefault="00000000" w:rsidRPr="00000000" w14:paraId="00000063">
      <w:pPr>
        <w:numPr>
          <w:ilvl w:val="0"/>
          <w:numId w:val="2"/>
        </w:numPr>
        <w:spacing w:after="0" w:afterAutospacing="0" w:before="0" w:beforeAutospacing="0" w:lineRule="auto"/>
        <w:ind w:left="720" w:hanging="360"/>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Ibid.</w:t>
      </w:r>
    </w:p>
    <w:p w:rsidR="00000000" w:rsidDel="00000000" w:rsidP="00000000" w:rsidRDefault="00000000" w:rsidRPr="00000000" w14:paraId="00000064">
      <w:pPr>
        <w:numPr>
          <w:ilvl w:val="0"/>
          <w:numId w:val="2"/>
        </w:numPr>
        <w:spacing w:after="0" w:afterAutospacing="0" w:before="0" w:beforeAutospacing="0" w:lineRule="auto"/>
        <w:ind w:left="720" w:hanging="360"/>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Ibid.</w:t>
      </w:r>
    </w:p>
    <w:p w:rsidR="00000000" w:rsidDel="00000000" w:rsidP="00000000" w:rsidRDefault="00000000" w:rsidRPr="00000000" w14:paraId="00000065">
      <w:pPr>
        <w:numPr>
          <w:ilvl w:val="0"/>
          <w:numId w:val="2"/>
        </w:numPr>
        <w:spacing w:after="0" w:afterAutospacing="0" w:before="0" w:beforeAutospacing="0" w:lineRule="auto"/>
        <w:ind w:left="720" w:hanging="360"/>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Ibid.</w:t>
      </w:r>
    </w:p>
    <w:p w:rsidR="00000000" w:rsidDel="00000000" w:rsidP="00000000" w:rsidRDefault="00000000" w:rsidRPr="00000000" w14:paraId="00000066">
      <w:pPr>
        <w:numPr>
          <w:ilvl w:val="0"/>
          <w:numId w:val="2"/>
        </w:numPr>
        <w:spacing w:after="0" w:afterAutospacing="0" w:before="0" w:beforeAutospacing="0" w:lineRule="auto"/>
        <w:ind w:left="720" w:hanging="360"/>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Ibid.</w:t>
      </w:r>
    </w:p>
    <w:p w:rsidR="00000000" w:rsidDel="00000000" w:rsidP="00000000" w:rsidRDefault="00000000" w:rsidRPr="00000000" w14:paraId="00000067">
      <w:pPr>
        <w:numPr>
          <w:ilvl w:val="0"/>
          <w:numId w:val="2"/>
        </w:numPr>
        <w:spacing w:after="0" w:afterAutospacing="0" w:before="0" w:beforeAutospacing="0" w:lineRule="auto"/>
        <w:ind w:left="720" w:hanging="360"/>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Ibid.</w:t>
      </w:r>
    </w:p>
    <w:p w:rsidR="00000000" w:rsidDel="00000000" w:rsidP="00000000" w:rsidRDefault="00000000" w:rsidRPr="00000000" w14:paraId="00000068">
      <w:pPr>
        <w:numPr>
          <w:ilvl w:val="0"/>
          <w:numId w:val="2"/>
        </w:numPr>
        <w:spacing w:after="0" w:afterAutospacing="0" w:before="0" w:beforeAutospacing="0" w:lineRule="auto"/>
        <w:ind w:left="720" w:hanging="360"/>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Ibid., summary of Barclays’ correspondence.</w:t>
      </w:r>
    </w:p>
    <w:p w:rsidR="00000000" w:rsidDel="00000000" w:rsidP="00000000" w:rsidRDefault="00000000" w:rsidRPr="00000000" w14:paraId="00000069">
      <w:pPr>
        <w:numPr>
          <w:ilvl w:val="0"/>
          <w:numId w:val="2"/>
        </w:numPr>
        <w:spacing w:after="0" w:afterAutospacing="0" w:before="0" w:beforeAutospacing="0" w:lineRule="auto"/>
        <w:ind w:left="720" w:hanging="360"/>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Investigator’s View (as summarised in Ombudsman’s Decision).</w:t>
      </w:r>
    </w:p>
    <w:p w:rsidR="00000000" w:rsidDel="00000000" w:rsidP="00000000" w:rsidRDefault="00000000" w:rsidRPr="00000000" w14:paraId="0000006A">
      <w:pPr>
        <w:numPr>
          <w:ilvl w:val="0"/>
          <w:numId w:val="2"/>
        </w:numPr>
        <w:spacing w:after="0" w:afterAutospacing="0" w:before="0" w:beforeAutospacing="0" w:lineRule="auto"/>
        <w:ind w:left="720" w:hanging="360"/>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Ombudsman’s Decision, p.2.</w:t>
      </w:r>
    </w:p>
    <w:p w:rsidR="00000000" w:rsidDel="00000000" w:rsidP="00000000" w:rsidRDefault="00000000" w:rsidRPr="00000000" w14:paraId="0000006B">
      <w:pPr>
        <w:numPr>
          <w:ilvl w:val="0"/>
          <w:numId w:val="2"/>
        </w:numPr>
        <w:spacing w:after="0" w:afterAutospacing="0" w:before="0" w:beforeAutospacing="0" w:lineRule="auto"/>
        <w:ind w:left="720" w:hanging="360"/>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Service Complaint Bundle – Vulnerability Statement.</w:t>
      </w:r>
    </w:p>
    <w:p w:rsidR="00000000" w:rsidDel="00000000" w:rsidP="00000000" w:rsidRDefault="00000000" w:rsidRPr="00000000" w14:paraId="0000006C">
      <w:pPr>
        <w:numPr>
          <w:ilvl w:val="0"/>
          <w:numId w:val="2"/>
        </w:numPr>
        <w:spacing w:after="0" w:afterAutospacing="0" w:before="0" w:beforeAutospacing="0" w:lineRule="auto"/>
        <w:ind w:left="720" w:hanging="360"/>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Ombudsman’s Decision, p.2.</w:t>
      </w:r>
    </w:p>
    <w:p w:rsidR="00000000" w:rsidDel="00000000" w:rsidP="00000000" w:rsidRDefault="00000000" w:rsidRPr="00000000" w14:paraId="0000006D">
      <w:pPr>
        <w:numPr>
          <w:ilvl w:val="0"/>
          <w:numId w:val="2"/>
        </w:numPr>
        <w:spacing w:after="0" w:afterAutospacing="0" w:before="0" w:beforeAutospacing="0" w:lineRule="auto"/>
        <w:ind w:left="720" w:hanging="360"/>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Black Justice, </w:t>
      </w:r>
      <w:r w:rsidDel="00000000" w:rsidR="00000000" w:rsidRPr="00000000">
        <w:rPr>
          <w:rFonts w:ascii="Georgia" w:cs="Georgia" w:eastAsia="Georgia" w:hAnsi="Georgia"/>
          <w:i w:val="1"/>
          <w:iCs w:val="1"/>
          <w:sz w:val="26"/>
          <w:szCs w:val="26"/>
          <w:rtl w:val="0"/>
        </w:rPr>
        <w:t xml:space="preserve">Evidential Devaluation in Administrative Justice</w:t>
      </w:r>
      <w:r w:rsidDel="00000000" w:rsidR="00000000" w:rsidRPr="00000000">
        <w:rPr>
          <w:rFonts w:ascii="Georgia" w:cs="Georgia" w:eastAsia="Georgia" w:hAnsi="Georgia"/>
          <w:sz w:val="26"/>
          <w:szCs w:val="26"/>
          <w:rtl w:val="0"/>
        </w:rPr>
        <w:t xml:space="preserve"> (2025).</w:t>
      </w:r>
    </w:p>
    <w:p w:rsidR="00000000" w:rsidDel="00000000" w:rsidP="00000000" w:rsidRDefault="00000000" w:rsidRPr="00000000" w14:paraId="0000006E">
      <w:pPr>
        <w:numPr>
          <w:ilvl w:val="0"/>
          <w:numId w:val="2"/>
        </w:numPr>
        <w:spacing w:after="0" w:afterAutospacing="0" w:before="0" w:beforeAutospacing="0" w:lineRule="auto"/>
        <w:ind w:left="720" w:hanging="360"/>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Ombudsman’s Decision, p.2.</w:t>
      </w:r>
    </w:p>
    <w:p w:rsidR="00000000" w:rsidDel="00000000" w:rsidP="00000000" w:rsidRDefault="00000000" w:rsidRPr="00000000" w14:paraId="0000006F">
      <w:pPr>
        <w:numPr>
          <w:ilvl w:val="0"/>
          <w:numId w:val="2"/>
        </w:numPr>
        <w:spacing w:after="0" w:afterAutospacing="0" w:before="0" w:beforeAutospacing="0" w:lineRule="auto"/>
        <w:ind w:left="720" w:hanging="360"/>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Black Justice, </w:t>
      </w:r>
      <w:r w:rsidDel="00000000" w:rsidR="00000000" w:rsidRPr="00000000">
        <w:rPr>
          <w:rFonts w:ascii="Georgia" w:cs="Georgia" w:eastAsia="Georgia" w:hAnsi="Georgia"/>
          <w:i w:val="1"/>
          <w:iCs w:val="1"/>
          <w:sz w:val="26"/>
          <w:szCs w:val="26"/>
          <w:rtl w:val="0"/>
        </w:rPr>
        <w:t xml:space="preserve">Administrative Minimisation and Racialised Harm</w:t>
      </w:r>
      <w:r w:rsidDel="00000000" w:rsidR="00000000" w:rsidRPr="00000000">
        <w:rPr>
          <w:rFonts w:ascii="Georgia" w:cs="Georgia" w:eastAsia="Georgia" w:hAnsi="Georgia"/>
          <w:sz w:val="26"/>
          <w:szCs w:val="26"/>
          <w:rtl w:val="0"/>
        </w:rPr>
        <w:t xml:space="preserve"> (2024).</w:t>
      </w:r>
    </w:p>
    <w:p w:rsidR="00000000" w:rsidDel="00000000" w:rsidP="00000000" w:rsidRDefault="00000000" w:rsidRPr="00000000" w14:paraId="00000070">
      <w:pPr>
        <w:numPr>
          <w:ilvl w:val="0"/>
          <w:numId w:val="2"/>
        </w:numPr>
        <w:spacing w:after="0" w:afterAutospacing="0" w:before="0" w:beforeAutospacing="0" w:lineRule="auto"/>
        <w:ind w:left="720" w:hanging="360"/>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Black Justice, </w:t>
      </w:r>
      <w:r w:rsidDel="00000000" w:rsidR="00000000" w:rsidRPr="00000000">
        <w:rPr>
          <w:rFonts w:ascii="Georgia" w:cs="Georgia" w:eastAsia="Georgia" w:hAnsi="Georgia"/>
          <w:i w:val="1"/>
          <w:iCs w:val="1"/>
          <w:sz w:val="26"/>
          <w:szCs w:val="26"/>
          <w:rtl w:val="0"/>
        </w:rPr>
        <w:t xml:space="preserve">Vulnerability Erasure in Regulatory Systems</w:t>
      </w:r>
      <w:r w:rsidDel="00000000" w:rsidR="00000000" w:rsidRPr="00000000">
        <w:rPr>
          <w:rFonts w:ascii="Georgia" w:cs="Georgia" w:eastAsia="Georgia" w:hAnsi="Georgia"/>
          <w:sz w:val="26"/>
          <w:szCs w:val="26"/>
          <w:rtl w:val="0"/>
        </w:rPr>
        <w:t xml:space="preserve"> (2025).</w:t>
      </w:r>
    </w:p>
    <w:p w:rsidR="00000000" w:rsidDel="00000000" w:rsidP="00000000" w:rsidRDefault="00000000" w:rsidRPr="00000000" w14:paraId="00000071">
      <w:pPr>
        <w:numPr>
          <w:ilvl w:val="0"/>
          <w:numId w:val="2"/>
        </w:numPr>
        <w:spacing w:after="0" w:afterAutospacing="0" w:before="0" w:beforeAutospacing="0" w:lineRule="auto"/>
        <w:ind w:left="720" w:hanging="360"/>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Steve Evans, Internal Service‑Complaint Response, 12 Feb 2026.</w:t>
      </w:r>
    </w:p>
    <w:p w:rsidR="00000000" w:rsidDel="00000000" w:rsidP="00000000" w:rsidRDefault="00000000" w:rsidRPr="00000000" w14:paraId="00000072">
      <w:pPr>
        <w:numPr>
          <w:ilvl w:val="0"/>
          <w:numId w:val="2"/>
        </w:numPr>
        <w:spacing w:after="0" w:afterAutospacing="0" w:before="0" w:beforeAutospacing="0" w:lineRule="auto"/>
        <w:ind w:left="720" w:hanging="360"/>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Black Justice, </w:t>
      </w:r>
      <w:r w:rsidDel="00000000" w:rsidR="00000000" w:rsidRPr="00000000">
        <w:rPr>
          <w:rFonts w:ascii="Georgia" w:cs="Georgia" w:eastAsia="Georgia" w:hAnsi="Georgia"/>
          <w:i w:val="1"/>
          <w:iCs w:val="1"/>
          <w:sz w:val="26"/>
          <w:szCs w:val="26"/>
          <w:rtl w:val="0"/>
        </w:rPr>
        <w:t xml:space="preserve">Institutional Self‑Protection and Racialised Risk</w:t>
      </w:r>
      <w:r w:rsidDel="00000000" w:rsidR="00000000" w:rsidRPr="00000000">
        <w:rPr>
          <w:rFonts w:ascii="Georgia" w:cs="Georgia" w:eastAsia="Georgia" w:hAnsi="Georgia"/>
          <w:sz w:val="26"/>
          <w:szCs w:val="26"/>
          <w:rtl w:val="0"/>
        </w:rPr>
        <w:t xml:space="preserve"> (2023).</w:t>
      </w:r>
    </w:p>
    <w:p w:rsidR="00000000" w:rsidDel="00000000" w:rsidP="00000000" w:rsidRDefault="00000000" w:rsidRPr="00000000" w14:paraId="00000073">
      <w:pPr>
        <w:numPr>
          <w:ilvl w:val="0"/>
          <w:numId w:val="2"/>
        </w:numPr>
        <w:spacing w:after="0" w:afterAutospacing="0" w:before="0" w:beforeAutospacing="0" w:lineRule="auto"/>
        <w:ind w:left="720" w:hanging="360"/>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Email from Senior Investigator Eva Myers, 12 Feb 2026.</w:t>
      </w:r>
    </w:p>
    <w:p w:rsidR="00000000" w:rsidDel="00000000" w:rsidP="00000000" w:rsidRDefault="00000000" w:rsidRPr="00000000" w14:paraId="00000074">
      <w:pPr>
        <w:numPr>
          <w:ilvl w:val="0"/>
          <w:numId w:val="2"/>
        </w:numPr>
        <w:spacing w:after="0" w:afterAutospacing="0" w:before="0" w:beforeAutospacing="0" w:lineRule="auto"/>
        <w:ind w:left="720" w:hanging="360"/>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Black Justice, </w:t>
      </w:r>
      <w:r w:rsidDel="00000000" w:rsidR="00000000" w:rsidRPr="00000000">
        <w:rPr>
          <w:rFonts w:ascii="Georgia" w:cs="Georgia" w:eastAsia="Georgia" w:hAnsi="Georgia"/>
          <w:i w:val="1"/>
          <w:iCs w:val="1"/>
          <w:sz w:val="26"/>
          <w:szCs w:val="26"/>
          <w:rtl w:val="0"/>
        </w:rPr>
        <w:t xml:space="preserve">Escalation Deterrence in Ombudsman Schemes</w:t>
      </w:r>
      <w:r w:rsidDel="00000000" w:rsidR="00000000" w:rsidRPr="00000000">
        <w:rPr>
          <w:rFonts w:ascii="Georgia" w:cs="Georgia" w:eastAsia="Georgia" w:hAnsi="Georgia"/>
          <w:sz w:val="26"/>
          <w:szCs w:val="26"/>
          <w:rtl w:val="0"/>
        </w:rPr>
        <w:t xml:space="preserve"> (2024).</w:t>
      </w:r>
    </w:p>
    <w:p w:rsidR="00000000" w:rsidDel="00000000" w:rsidP="00000000" w:rsidRDefault="00000000" w:rsidRPr="00000000" w14:paraId="00000075">
      <w:pPr>
        <w:numPr>
          <w:ilvl w:val="0"/>
          <w:numId w:val="2"/>
        </w:numPr>
        <w:spacing w:after="0" w:afterAutospacing="0" w:before="0" w:beforeAutospacing="0" w:lineRule="auto"/>
        <w:ind w:left="720" w:hanging="360"/>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Internal Service‑Complaint Response, 12 Feb 2026.</w:t>
      </w:r>
    </w:p>
    <w:p w:rsidR="00000000" w:rsidDel="00000000" w:rsidP="00000000" w:rsidRDefault="00000000" w:rsidRPr="00000000" w14:paraId="00000076">
      <w:pPr>
        <w:numPr>
          <w:ilvl w:val="0"/>
          <w:numId w:val="2"/>
        </w:numPr>
        <w:spacing w:after="0" w:afterAutospacing="0" w:before="0" w:beforeAutospacing="0" w:lineRule="auto"/>
        <w:ind w:left="720" w:hanging="360"/>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IA correspondence, 6–7 Feb 2026.</w:t>
      </w:r>
    </w:p>
    <w:p w:rsidR="00000000" w:rsidDel="00000000" w:rsidP="00000000" w:rsidRDefault="00000000" w:rsidRPr="00000000" w14:paraId="00000077">
      <w:pPr>
        <w:numPr>
          <w:ilvl w:val="0"/>
          <w:numId w:val="2"/>
        </w:numPr>
        <w:spacing w:after="0" w:afterAutospacing="0" w:before="0" w:beforeAutospacing="0" w:lineRule="auto"/>
        <w:ind w:left="720" w:hanging="360"/>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Black Justice, </w:t>
      </w:r>
      <w:r w:rsidDel="00000000" w:rsidR="00000000" w:rsidRPr="00000000">
        <w:rPr>
          <w:rFonts w:ascii="Georgia" w:cs="Georgia" w:eastAsia="Georgia" w:hAnsi="Georgia"/>
          <w:i w:val="1"/>
          <w:iCs w:val="1"/>
          <w:sz w:val="26"/>
          <w:szCs w:val="26"/>
          <w:rtl w:val="0"/>
        </w:rPr>
        <w:t xml:space="preserve">Institutional Defensiveness in Complaint Handling</w:t>
      </w:r>
      <w:r w:rsidDel="00000000" w:rsidR="00000000" w:rsidRPr="00000000">
        <w:rPr>
          <w:rFonts w:ascii="Georgia" w:cs="Georgia" w:eastAsia="Georgia" w:hAnsi="Georgia"/>
          <w:sz w:val="26"/>
          <w:szCs w:val="26"/>
          <w:rtl w:val="0"/>
        </w:rPr>
        <w:t xml:space="preserve"> (2025).</w:t>
      </w:r>
    </w:p>
    <w:p w:rsidR="00000000" w:rsidDel="00000000" w:rsidP="00000000" w:rsidRDefault="00000000" w:rsidRPr="00000000" w14:paraId="00000078">
      <w:pPr>
        <w:numPr>
          <w:ilvl w:val="0"/>
          <w:numId w:val="2"/>
        </w:numPr>
        <w:spacing w:after="0" w:afterAutospacing="0" w:before="0" w:beforeAutospacing="0" w:lineRule="auto"/>
        <w:ind w:left="720" w:hanging="360"/>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See footnote 13.</w:t>
      </w:r>
    </w:p>
    <w:p w:rsidR="00000000" w:rsidDel="00000000" w:rsidP="00000000" w:rsidRDefault="00000000" w:rsidRPr="00000000" w14:paraId="00000079">
      <w:pPr>
        <w:numPr>
          <w:ilvl w:val="0"/>
          <w:numId w:val="2"/>
        </w:numPr>
        <w:spacing w:after="0" w:afterAutospacing="0" w:before="0" w:beforeAutospacing="0" w:lineRule="auto"/>
        <w:ind w:left="720" w:hanging="360"/>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See footnote 15.</w:t>
      </w:r>
    </w:p>
    <w:p w:rsidR="00000000" w:rsidDel="00000000" w:rsidP="00000000" w:rsidRDefault="00000000" w:rsidRPr="00000000" w14:paraId="0000007A">
      <w:pPr>
        <w:numPr>
          <w:ilvl w:val="0"/>
          <w:numId w:val="2"/>
        </w:numPr>
        <w:spacing w:after="0" w:afterAutospacing="0" w:before="0" w:beforeAutospacing="0" w:lineRule="auto"/>
        <w:ind w:left="720" w:hanging="360"/>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Ibid.</w:t>
      </w:r>
    </w:p>
    <w:p w:rsidR="00000000" w:rsidDel="00000000" w:rsidP="00000000" w:rsidRDefault="00000000" w:rsidRPr="00000000" w14:paraId="0000007B">
      <w:pPr>
        <w:numPr>
          <w:ilvl w:val="0"/>
          <w:numId w:val="2"/>
        </w:numPr>
        <w:spacing w:after="0" w:afterAutospacing="0" w:before="0" w:beforeAutospacing="0" w:lineRule="auto"/>
        <w:ind w:left="720" w:hanging="360"/>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See footnote 16.</w:t>
      </w:r>
    </w:p>
    <w:p w:rsidR="00000000" w:rsidDel="00000000" w:rsidP="00000000" w:rsidRDefault="00000000" w:rsidRPr="00000000" w14:paraId="0000007C">
      <w:pPr>
        <w:numPr>
          <w:ilvl w:val="0"/>
          <w:numId w:val="2"/>
        </w:numPr>
        <w:spacing w:after="0" w:afterAutospacing="0" w:before="0" w:beforeAutospacing="0" w:lineRule="auto"/>
        <w:ind w:left="720" w:hanging="360"/>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See footnote 18.</w:t>
      </w:r>
    </w:p>
    <w:p w:rsidR="00000000" w:rsidDel="00000000" w:rsidP="00000000" w:rsidRDefault="00000000" w:rsidRPr="00000000" w14:paraId="0000007D">
      <w:pPr>
        <w:numPr>
          <w:ilvl w:val="0"/>
          <w:numId w:val="2"/>
        </w:numPr>
        <w:spacing w:after="240" w:before="0" w:beforeAutospacing="0" w:lineRule="auto"/>
        <w:ind w:left="720" w:hanging="360"/>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See footnote 20.</w:t>
      </w:r>
    </w:p>
    <w:p w:rsidR="00000000" w:rsidDel="00000000" w:rsidP="00000000" w:rsidRDefault="00000000" w:rsidRPr="00000000" w14:paraId="0000007E">
      <w:pPr>
        <w:rPr>
          <w:rFonts w:ascii="Georgia" w:cs="Georgia" w:eastAsia="Georgia" w:hAnsi="Georgia"/>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F">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