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xu7q2kkwyfax" w:id="0"/>
      <w:bookmarkEnd w:id="0"/>
      <w:r w:rsidDel="00000000" w:rsidR="00000000" w:rsidRPr="00000000">
        <w:rPr>
          <w:b w:val="1"/>
          <w:bCs w:val="1"/>
          <w:sz w:val="46"/>
          <w:szCs w:val="46"/>
          <w:rtl w:val="0"/>
        </w:rPr>
        <w:t xml:space="preserve">BLACK JUSTICE RESEARCH CENTRE</w:t>
      </w:r>
    </w:p>
    <w:p w:rsidR="00000000" w:rsidDel="00000000" w:rsidP="00000000" w:rsidRDefault="00000000" w:rsidRPr="00000000" w14:paraId="00000002">
      <w:pPr>
        <w:pStyle w:val="Heading2"/>
        <w:keepNext w:val="0"/>
        <w:keepLines w:val="0"/>
        <w:spacing w:after="80" w:lineRule="auto"/>
        <w:rPr>
          <w:b w:val="1"/>
          <w:bCs w:val="1"/>
          <w:sz w:val="34"/>
          <w:szCs w:val="34"/>
        </w:rPr>
      </w:pPr>
      <w:bookmarkStart w:colFirst="0" w:colLast="0" w:name="_3sv4ygtczqoh" w:id="1"/>
      <w:bookmarkEnd w:id="1"/>
      <w:r w:rsidDel="00000000" w:rsidR="00000000" w:rsidRPr="00000000">
        <w:rPr>
          <w:b w:val="1"/>
          <w:bCs w:val="1"/>
          <w:sz w:val="34"/>
          <w:szCs w:val="34"/>
          <w:rtl w:val="0"/>
        </w:rPr>
        <w:t xml:space="preserve">RACIALLY AGGRAVATED PROCEDURAL RISK IN FINANCIAL‑REGULATORY DISPUTE RESOLUTION</w:t>
      </w:r>
    </w:p>
    <w:p w:rsidR="00000000" w:rsidDel="00000000" w:rsidP="00000000" w:rsidRDefault="00000000" w:rsidRPr="00000000" w14:paraId="00000003">
      <w:pPr>
        <w:pStyle w:val="Heading3"/>
        <w:keepNext w:val="0"/>
        <w:keepLines w:val="0"/>
        <w:spacing w:before="280" w:lineRule="auto"/>
        <w:rPr>
          <w:b w:val="1"/>
          <w:bCs w:val="1"/>
          <w:color w:val="000000"/>
        </w:rPr>
      </w:pPr>
      <w:bookmarkStart w:colFirst="0" w:colLast="0" w:name="_a3giee15ue58" w:id="2"/>
      <w:bookmarkEnd w:id="2"/>
      <w:r w:rsidDel="00000000" w:rsidR="00000000" w:rsidRPr="00000000">
        <w:rPr>
          <w:b w:val="1"/>
          <w:bCs w:val="1"/>
          <w:color w:val="000000"/>
          <w:rtl w:val="0"/>
        </w:rPr>
        <w:t xml:space="preserve">A Doctrinal Case Study of FOS Complaint PNX‑5830006‑F4L0</w:t>
      </w:r>
    </w:p>
    <w:p w:rsidR="00000000" w:rsidDel="00000000" w:rsidP="00000000" w:rsidRDefault="00000000" w:rsidRPr="00000000" w14:paraId="00000004">
      <w:pPr>
        <w:spacing w:after="240" w:before="240" w:lineRule="auto"/>
        <w:rPr>
          <w:sz w:val="24"/>
          <w:szCs w:val="24"/>
        </w:rPr>
      </w:pPr>
      <w:r w:rsidDel="00000000" w:rsidR="00000000" w:rsidRPr="00000000">
        <w:rPr>
          <w:b w:val="1"/>
          <w:bCs w:val="1"/>
          <w:sz w:val="24"/>
          <w:szCs w:val="24"/>
          <w:rtl w:val="0"/>
        </w:rPr>
        <w:t xml:space="preserve">Author:</w:t>
        <w:br w:type="textWrapping"/>
      </w:r>
      <w:r w:rsidDel="00000000" w:rsidR="00000000" w:rsidRPr="00000000">
        <w:rPr>
          <w:sz w:val="24"/>
          <w:szCs w:val="24"/>
          <w:rtl w:val="0"/>
        </w:rPr>
        <w:t xml:space="preserve"> </w:t>
      </w:r>
      <w:r w:rsidDel="00000000" w:rsidR="00000000" w:rsidRPr="00000000">
        <w:rPr>
          <w:b w:val="1"/>
          <w:bCs w:val="1"/>
          <w:sz w:val="24"/>
          <w:szCs w:val="24"/>
          <w:rtl w:val="0"/>
        </w:rPr>
        <w:t xml:space="preserve">George T. Nomen, LL.B/LL.M</w:t>
        <w:br w:type="textWrapping"/>
      </w:r>
      <w:r w:rsidDel="00000000" w:rsidR="00000000" w:rsidRPr="00000000">
        <w:rPr>
          <w:sz w:val="24"/>
          <w:szCs w:val="24"/>
          <w:rtl w:val="0"/>
        </w:rPr>
        <w:t xml:space="preserve"> Lead Researcher – Evidential Integrity &amp; Procedural Risk</w:t>
        <w:br w:type="textWrapping"/>
        <w:t xml:space="preserve"> Black Justice Research Centre</w:t>
      </w:r>
    </w:p>
    <w:p w:rsidR="00000000" w:rsidDel="00000000" w:rsidP="00000000" w:rsidRDefault="00000000" w:rsidRPr="00000000" w14:paraId="00000005">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1"/>
        <w:keepNext w:val="0"/>
        <w:keepLines w:val="0"/>
        <w:spacing w:before="480" w:lineRule="auto"/>
        <w:rPr>
          <w:b w:val="1"/>
          <w:bCs w:val="1"/>
          <w:sz w:val="48"/>
          <w:szCs w:val="48"/>
        </w:rPr>
      </w:pPr>
      <w:bookmarkStart w:colFirst="0" w:colLast="0" w:name="_174oa69l8b7u" w:id="3"/>
      <w:bookmarkEnd w:id="3"/>
      <w:r w:rsidDel="00000000" w:rsidR="00000000" w:rsidRPr="00000000">
        <w:rPr>
          <w:b w:val="1"/>
          <w:bCs w:val="1"/>
          <w:sz w:val="48"/>
          <w:szCs w:val="48"/>
          <w:rtl w:val="0"/>
        </w:rPr>
        <w:t xml:space="preserve">Abstract</w:t>
      </w:r>
    </w:p>
    <w:p w:rsidR="00000000" w:rsidDel="00000000" w:rsidP="00000000" w:rsidRDefault="00000000" w:rsidRPr="00000000" w14:paraId="00000007">
      <w:pPr>
        <w:spacing w:after="240" w:before="240" w:lineRule="auto"/>
        <w:rPr>
          <w:sz w:val="24"/>
          <w:szCs w:val="24"/>
        </w:rPr>
      </w:pPr>
      <w:r w:rsidDel="00000000" w:rsidR="00000000" w:rsidRPr="00000000">
        <w:rPr>
          <w:sz w:val="24"/>
          <w:szCs w:val="24"/>
          <w:rtl w:val="0"/>
        </w:rPr>
        <w:t xml:space="preserve">This case study examines the Financial Ombudsman Service’s handling of Ms Donna Samantha Spence’s complaint (PNX‑5830006‑F4L0) as a doctrinal example of </w:t>
      </w:r>
      <w:r w:rsidDel="00000000" w:rsidR="00000000" w:rsidRPr="00000000">
        <w:rPr>
          <w:b w:val="1"/>
          <w:bCs w:val="1"/>
          <w:sz w:val="24"/>
          <w:szCs w:val="24"/>
          <w:rtl w:val="0"/>
        </w:rPr>
        <w:t xml:space="preserve">racially aggravated procedural risk</w:t>
      </w:r>
      <w:r w:rsidDel="00000000" w:rsidR="00000000" w:rsidRPr="00000000">
        <w:rPr>
          <w:sz w:val="24"/>
          <w:szCs w:val="24"/>
          <w:rtl w:val="0"/>
        </w:rPr>
        <w:t xml:space="preserve">. Drawing on documentary evidence from the Ombudsman’s decision (5 February 2026), internal service‑complaint correspondence (9–12 February 2026), and statutory notices from HM Land Registry, the study identifies structural, evidential, and governance failures that disproportionately disadvantage Black complainants. The analysis contributes to the emerging doctrinal framework of racially aggravated procedural risk within administrative justice.</w:t>
      </w:r>
    </w:p>
    <w:p w:rsidR="00000000" w:rsidDel="00000000" w:rsidP="00000000" w:rsidRDefault="00000000" w:rsidRPr="00000000" w14:paraId="00000008">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9">
      <w:pPr>
        <w:pStyle w:val="Heading1"/>
        <w:keepNext w:val="0"/>
        <w:keepLines w:val="0"/>
        <w:spacing w:before="480" w:lineRule="auto"/>
        <w:rPr>
          <w:b w:val="1"/>
          <w:bCs w:val="1"/>
          <w:sz w:val="48"/>
          <w:szCs w:val="48"/>
        </w:rPr>
      </w:pPr>
      <w:bookmarkStart w:colFirst="0" w:colLast="0" w:name="_iqokobciefb" w:id="4"/>
      <w:bookmarkEnd w:id="4"/>
      <w:r w:rsidDel="00000000" w:rsidR="00000000" w:rsidRPr="00000000">
        <w:rPr>
          <w:b w:val="1"/>
          <w:bCs w:val="1"/>
          <w:sz w:val="48"/>
          <w:szCs w:val="48"/>
          <w:rtl w:val="0"/>
        </w:rPr>
        <w:t xml:space="preserve">1. Introduction</w:t>
      </w:r>
    </w:p>
    <w:p w:rsidR="00000000" w:rsidDel="00000000" w:rsidP="00000000" w:rsidRDefault="00000000" w:rsidRPr="00000000" w14:paraId="0000000A">
      <w:pPr>
        <w:spacing w:after="240" w:before="240" w:lineRule="auto"/>
        <w:rPr>
          <w:sz w:val="24"/>
          <w:szCs w:val="24"/>
        </w:rPr>
      </w:pPr>
      <w:r w:rsidDel="00000000" w:rsidR="00000000" w:rsidRPr="00000000">
        <w:rPr>
          <w:sz w:val="24"/>
          <w:szCs w:val="24"/>
          <w:rtl w:val="0"/>
        </w:rPr>
        <w:t xml:space="preserve">The Black Justice doctrinal framework defines </w:t>
      </w:r>
      <w:r w:rsidDel="00000000" w:rsidR="00000000" w:rsidRPr="00000000">
        <w:rPr>
          <w:b w:val="1"/>
          <w:bCs w:val="1"/>
          <w:sz w:val="24"/>
          <w:szCs w:val="24"/>
          <w:rtl w:val="0"/>
        </w:rPr>
        <w:t xml:space="preserve">racially aggravated procedural risk</w:t>
      </w:r>
      <w:r w:rsidDel="00000000" w:rsidR="00000000" w:rsidRPr="00000000">
        <w:rPr>
          <w:sz w:val="24"/>
          <w:szCs w:val="24"/>
          <w:rtl w:val="0"/>
        </w:rPr>
        <w:t xml:space="preserve"> as:</w:t>
      </w:r>
    </w:p>
    <w:p w:rsidR="00000000" w:rsidDel="00000000" w:rsidP="00000000" w:rsidRDefault="00000000" w:rsidRPr="00000000" w14:paraId="0000000B">
      <w:pPr>
        <w:spacing w:after="240" w:before="240" w:lineRule="auto"/>
        <w:ind w:left="600" w:right="600" w:firstLine="0"/>
        <w:rPr>
          <w:sz w:val="24"/>
          <w:szCs w:val="24"/>
        </w:rPr>
      </w:pPr>
      <w:r w:rsidDel="00000000" w:rsidR="00000000" w:rsidRPr="00000000">
        <w:rPr>
          <w:i w:val="1"/>
          <w:iCs w:val="1"/>
          <w:sz w:val="24"/>
          <w:szCs w:val="24"/>
          <w:rtl w:val="0"/>
        </w:rPr>
        <w:t xml:space="preserve">“The heightened probability that a Black complainant will experience procedural unfairness, evidential minimisation, or governance failure due to structural, cultural, or institutional biases embedded within administrative systems.”</w:t>
      </w:r>
      <w:r w:rsidDel="00000000" w:rsidR="00000000" w:rsidRPr="00000000">
        <w:rPr>
          <w:sz w:val="24"/>
          <w:szCs w:val="24"/>
          <w:rtl w:val="0"/>
        </w:rPr>
        <w:t xml:space="preserve">¹</w:t>
      </w:r>
    </w:p>
    <w:p w:rsidR="00000000" w:rsidDel="00000000" w:rsidP="00000000" w:rsidRDefault="00000000" w:rsidRPr="00000000" w14:paraId="0000000C">
      <w:pPr>
        <w:spacing w:after="240" w:before="240" w:lineRule="auto"/>
        <w:rPr>
          <w:sz w:val="24"/>
          <w:szCs w:val="24"/>
        </w:rPr>
      </w:pPr>
      <w:r w:rsidDel="00000000" w:rsidR="00000000" w:rsidRPr="00000000">
        <w:rPr>
          <w:sz w:val="24"/>
          <w:szCs w:val="24"/>
          <w:rtl w:val="0"/>
        </w:rPr>
        <w:t xml:space="preserve">This case provides a clear, documented example of that risk in the context of financial‑regulatory dispute resolution.</w:t>
      </w:r>
    </w:p>
    <w:p w:rsidR="00000000" w:rsidDel="00000000" w:rsidP="00000000" w:rsidRDefault="00000000" w:rsidRPr="00000000" w14:paraId="0000000D">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pStyle w:val="Heading1"/>
        <w:keepNext w:val="0"/>
        <w:keepLines w:val="0"/>
        <w:spacing w:before="480" w:lineRule="auto"/>
        <w:rPr>
          <w:b w:val="1"/>
          <w:bCs w:val="1"/>
          <w:sz w:val="48"/>
          <w:szCs w:val="48"/>
        </w:rPr>
      </w:pPr>
      <w:bookmarkStart w:colFirst="0" w:colLast="0" w:name="_daor6z3eah6v" w:id="5"/>
      <w:bookmarkEnd w:id="5"/>
      <w:r w:rsidDel="00000000" w:rsidR="00000000" w:rsidRPr="00000000">
        <w:rPr>
          <w:b w:val="1"/>
          <w:bCs w:val="1"/>
          <w:sz w:val="48"/>
          <w:szCs w:val="48"/>
          <w:rtl w:val="0"/>
        </w:rPr>
        <w:t xml:space="preserve">2. Factual Background</w:t>
      </w:r>
    </w:p>
    <w:p w:rsidR="00000000" w:rsidDel="00000000" w:rsidP="00000000" w:rsidRDefault="00000000" w:rsidRPr="00000000" w14:paraId="0000000F">
      <w:pPr>
        <w:pStyle w:val="Heading2"/>
        <w:keepNext w:val="0"/>
        <w:keepLines w:val="0"/>
        <w:spacing w:after="80" w:lineRule="auto"/>
        <w:rPr>
          <w:b w:val="1"/>
          <w:bCs w:val="1"/>
          <w:sz w:val="36"/>
          <w:szCs w:val="36"/>
        </w:rPr>
      </w:pPr>
      <w:bookmarkStart w:colFirst="0" w:colLast="0" w:name="_hbnkbh8fxm15" w:id="6"/>
      <w:bookmarkEnd w:id="6"/>
      <w:r w:rsidDel="00000000" w:rsidR="00000000" w:rsidRPr="00000000">
        <w:rPr>
          <w:b w:val="1"/>
          <w:bCs w:val="1"/>
          <w:sz w:val="36"/>
          <w:szCs w:val="36"/>
          <w:rtl w:val="0"/>
        </w:rPr>
        <w:t xml:space="preserve">2.1 Estate and Property</w:t>
      </w:r>
    </w:p>
    <w:p w:rsidR="00000000" w:rsidDel="00000000" w:rsidP="00000000" w:rsidRDefault="00000000" w:rsidRPr="00000000" w14:paraId="00000010">
      <w:pPr>
        <w:spacing w:after="240" w:before="240" w:lineRule="auto"/>
        <w:rPr>
          <w:sz w:val="24"/>
          <w:szCs w:val="24"/>
        </w:rPr>
      </w:pPr>
      <w:r w:rsidDel="00000000" w:rsidR="00000000" w:rsidRPr="00000000">
        <w:rPr>
          <w:sz w:val="24"/>
          <w:szCs w:val="24"/>
          <w:rtl w:val="0"/>
        </w:rPr>
        <w:t xml:space="preserve">A relative of Ms Spence died in January 2016.² She was appointed as a co‑executor, but was removed by court order in October 2019.³ The property was sold in April 2024, and the purchasers obtained a mortgage from Barclays Bank UK PLC.⁴</w:t>
      </w:r>
    </w:p>
    <w:p w:rsidR="00000000" w:rsidDel="00000000" w:rsidP="00000000" w:rsidRDefault="00000000" w:rsidRPr="00000000" w14:paraId="00000011">
      <w:pPr>
        <w:pStyle w:val="Heading2"/>
        <w:keepNext w:val="0"/>
        <w:keepLines w:val="0"/>
        <w:spacing w:after="80" w:lineRule="auto"/>
        <w:rPr>
          <w:b w:val="1"/>
          <w:bCs w:val="1"/>
          <w:sz w:val="36"/>
          <w:szCs w:val="36"/>
        </w:rPr>
      </w:pPr>
      <w:bookmarkStart w:colFirst="0" w:colLast="0" w:name="_bo4wj6tllzjg" w:id="7"/>
      <w:bookmarkEnd w:id="7"/>
      <w:r w:rsidDel="00000000" w:rsidR="00000000" w:rsidRPr="00000000">
        <w:rPr>
          <w:b w:val="1"/>
          <w:bCs w:val="1"/>
          <w:sz w:val="36"/>
          <w:szCs w:val="36"/>
          <w:rtl w:val="0"/>
        </w:rPr>
        <w:t xml:space="preserve">2.2 Land Registry Recognition of Interest</w:t>
      </w:r>
    </w:p>
    <w:p w:rsidR="00000000" w:rsidDel="00000000" w:rsidP="00000000" w:rsidRDefault="00000000" w:rsidRPr="00000000" w14:paraId="00000012">
      <w:pPr>
        <w:spacing w:after="240" w:before="240" w:lineRule="auto"/>
        <w:rPr>
          <w:sz w:val="24"/>
          <w:szCs w:val="24"/>
        </w:rPr>
      </w:pPr>
      <w:r w:rsidDel="00000000" w:rsidR="00000000" w:rsidRPr="00000000">
        <w:rPr>
          <w:sz w:val="24"/>
          <w:szCs w:val="24"/>
          <w:rtl w:val="0"/>
        </w:rPr>
        <w:t xml:space="preserve">The Ombudsman’s own findings confirm that:</w:t>
      </w:r>
    </w:p>
    <w:p w:rsidR="00000000" w:rsidDel="00000000" w:rsidP="00000000" w:rsidRDefault="00000000" w:rsidRPr="00000000" w14:paraId="00000013">
      <w:pPr>
        <w:numPr>
          <w:ilvl w:val="0"/>
          <w:numId w:val="4"/>
        </w:numPr>
        <w:spacing w:after="0" w:afterAutospacing="0" w:before="240" w:lineRule="auto"/>
        <w:ind w:left="720" w:hanging="360"/>
        <w:rPr>
          <w:sz w:val="24"/>
          <w:szCs w:val="24"/>
        </w:rPr>
      </w:pPr>
      <w:r w:rsidDel="00000000" w:rsidR="00000000" w:rsidRPr="00000000">
        <w:rPr>
          <w:sz w:val="24"/>
          <w:szCs w:val="24"/>
          <w:rtl w:val="0"/>
        </w:rPr>
        <w:t xml:space="preserve">“The Land Registry sent Ms S formal notification of the sale and mortgage…”⁵</w:t>
      </w:r>
    </w:p>
    <w:p w:rsidR="00000000" w:rsidDel="00000000" w:rsidP="00000000" w:rsidRDefault="00000000" w:rsidRPr="00000000" w14:paraId="00000014">
      <w:pPr>
        <w:numPr>
          <w:ilvl w:val="0"/>
          <w:numId w:val="4"/>
        </w:numPr>
        <w:spacing w:after="0" w:afterAutospacing="0" w:before="0" w:beforeAutospacing="0" w:lineRule="auto"/>
        <w:ind w:left="720" w:hanging="360"/>
        <w:rPr>
          <w:sz w:val="24"/>
          <w:szCs w:val="24"/>
        </w:rPr>
      </w:pPr>
      <w:r w:rsidDel="00000000" w:rsidR="00000000" w:rsidRPr="00000000">
        <w:rPr>
          <w:sz w:val="24"/>
          <w:szCs w:val="24"/>
          <w:rtl w:val="0"/>
        </w:rPr>
        <w:t xml:space="preserve">“She had registered an interest in the property.”⁶</w:t>
      </w:r>
    </w:p>
    <w:p w:rsidR="00000000" w:rsidDel="00000000" w:rsidP="00000000" w:rsidRDefault="00000000" w:rsidRPr="00000000" w14:paraId="00000015">
      <w:pPr>
        <w:numPr>
          <w:ilvl w:val="0"/>
          <w:numId w:val="4"/>
        </w:numPr>
        <w:spacing w:after="240" w:before="0" w:beforeAutospacing="0" w:lineRule="auto"/>
        <w:ind w:left="720" w:hanging="360"/>
        <w:rPr>
          <w:sz w:val="24"/>
          <w:szCs w:val="24"/>
        </w:rPr>
      </w:pPr>
      <w:r w:rsidDel="00000000" w:rsidR="00000000" w:rsidRPr="00000000">
        <w:rPr>
          <w:sz w:val="24"/>
          <w:szCs w:val="24"/>
          <w:rtl w:val="0"/>
        </w:rPr>
        <w:t xml:space="preserve">“It gave Ms S a chance to object or consent.”⁷</w:t>
      </w:r>
    </w:p>
    <w:p w:rsidR="00000000" w:rsidDel="00000000" w:rsidP="00000000" w:rsidRDefault="00000000" w:rsidRPr="00000000" w14:paraId="00000016">
      <w:pPr>
        <w:spacing w:after="240" w:before="240" w:lineRule="auto"/>
        <w:rPr>
          <w:sz w:val="24"/>
          <w:szCs w:val="24"/>
        </w:rPr>
      </w:pPr>
      <w:r w:rsidDel="00000000" w:rsidR="00000000" w:rsidRPr="00000000">
        <w:rPr>
          <w:sz w:val="24"/>
          <w:szCs w:val="24"/>
          <w:rtl w:val="0"/>
        </w:rPr>
        <w:t xml:space="preserve">These are statutory acts recognising her as a </w:t>
      </w:r>
      <w:r w:rsidDel="00000000" w:rsidR="00000000" w:rsidRPr="00000000">
        <w:rPr>
          <w:b w:val="1"/>
          <w:bCs w:val="1"/>
          <w:sz w:val="24"/>
          <w:szCs w:val="24"/>
          <w:rtl w:val="0"/>
        </w:rPr>
        <w:t xml:space="preserve">party affected</w:t>
      </w:r>
      <w:r w:rsidDel="00000000" w:rsidR="00000000" w:rsidRPr="00000000">
        <w:rPr>
          <w:sz w:val="24"/>
          <w:szCs w:val="24"/>
          <w:rtl w:val="0"/>
        </w:rPr>
        <w:t xml:space="preserve"> by the mortgage transaction.</w:t>
      </w:r>
    </w:p>
    <w:p w:rsidR="00000000" w:rsidDel="00000000" w:rsidP="00000000" w:rsidRDefault="00000000" w:rsidRPr="00000000" w14:paraId="00000017">
      <w:pPr>
        <w:pStyle w:val="Heading2"/>
        <w:keepNext w:val="0"/>
        <w:keepLines w:val="0"/>
        <w:spacing w:after="80" w:lineRule="auto"/>
        <w:rPr>
          <w:b w:val="1"/>
          <w:bCs w:val="1"/>
          <w:sz w:val="36"/>
          <w:szCs w:val="36"/>
        </w:rPr>
      </w:pPr>
      <w:bookmarkStart w:colFirst="0" w:colLast="0" w:name="_4t4p4uzgqw9f" w:id="8"/>
      <w:bookmarkEnd w:id="8"/>
      <w:r w:rsidDel="00000000" w:rsidR="00000000" w:rsidRPr="00000000">
        <w:rPr>
          <w:b w:val="1"/>
          <w:bCs w:val="1"/>
          <w:sz w:val="36"/>
          <w:szCs w:val="36"/>
          <w:rtl w:val="0"/>
        </w:rPr>
        <w:t xml:space="preserve">2.3 Barclays’ Position</w:t>
      </w:r>
    </w:p>
    <w:p w:rsidR="00000000" w:rsidDel="00000000" w:rsidP="00000000" w:rsidRDefault="00000000" w:rsidRPr="00000000" w14:paraId="00000018">
      <w:pPr>
        <w:spacing w:after="240" w:before="240" w:lineRule="auto"/>
        <w:rPr>
          <w:sz w:val="24"/>
          <w:szCs w:val="24"/>
        </w:rPr>
      </w:pPr>
      <w:r w:rsidDel="00000000" w:rsidR="00000000" w:rsidRPr="00000000">
        <w:rPr>
          <w:sz w:val="24"/>
          <w:szCs w:val="24"/>
          <w:rtl w:val="0"/>
        </w:rPr>
        <w:t xml:space="preserve">Barclays refused to engage with Ms Spence, stating she had “no ownership” and could not be discussed with.⁸</w:t>
      </w:r>
    </w:p>
    <w:p w:rsidR="00000000" w:rsidDel="00000000" w:rsidP="00000000" w:rsidRDefault="00000000" w:rsidRPr="00000000" w14:paraId="00000019">
      <w:pPr>
        <w:pStyle w:val="Heading2"/>
        <w:keepNext w:val="0"/>
        <w:keepLines w:val="0"/>
        <w:spacing w:after="80" w:lineRule="auto"/>
        <w:rPr>
          <w:b w:val="1"/>
          <w:bCs w:val="1"/>
          <w:sz w:val="36"/>
          <w:szCs w:val="36"/>
        </w:rPr>
      </w:pPr>
      <w:bookmarkStart w:colFirst="0" w:colLast="0" w:name="_p5fnpqqa450h" w:id="9"/>
      <w:bookmarkEnd w:id="9"/>
      <w:r w:rsidDel="00000000" w:rsidR="00000000" w:rsidRPr="00000000">
        <w:rPr>
          <w:b w:val="1"/>
          <w:bCs w:val="1"/>
          <w:sz w:val="36"/>
          <w:szCs w:val="36"/>
          <w:rtl w:val="0"/>
        </w:rPr>
        <w:t xml:space="preserve">2.4 FOS Handling</w:t>
      </w:r>
    </w:p>
    <w:p w:rsidR="00000000" w:rsidDel="00000000" w:rsidP="00000000" w:rsidRDefault="00000000" w:rsidRPr="00000000" w14:paraId="0000001A">
      <w:pPr>
        <w:spacing w:after="240" w:before="240" w:lineRule="auto"/>
        <w:rPr>
          <w:sz w:val="24"/>
          <w:szCs w:val="24"/>
        </w:rPr>
      </w:pPr>
      <w:r w:rsidDel="00000000" w:rsidR="00000000" w:rsidRPr="00000000">
        <w:rPr>
          <w:sz w:val="24"/>
          <w:szCs w:val="24"/>
          <w:rtl w:val="0"/>
        </w:rPr>
        <w:t xml:space="preserve">The FOS Investigator concluded that the complaint fell outside jurisdiction because Ms Spence was “not a customer.”⁹ The Ombudsman upheld this view, stating:</w:t>
      </w:r>
    </w:p>
    <w:p w:rsidR="00000000" w:rsidDel="00000000" w:rsidP="00000000" w:rsidRDefault="00000000" w:rsidRPr="00000000" w14:paraId="0000001B">
      <w:pPr>
        <w:spacing w:after="240" w:before="240" w:lineRule="auto"/>
        <w:ind w:left="600" w:right="600" w:firstLine="0"/>
        <w:rPr>
          <w:sz w:val="24"/>
          <w:szCs w:val="24"/>
        </w:rPr>
      </w:pPr>
      <w:r w:rsidDel="00000000" w:rsidR="00000000" w:rsidRPr="00000000">
        <w:rPr>
          <w:sz w:val="24"/>
          <w:szCs w:val="24"/>
          <w:rtl w:val="0"/>
        </w:rPr>
        <w:t xml:space="preserve">“Ms S’s only link to Barclays is that it granted a mortgage to the purchasers.”¹⁰</w:t>
      </w:r>
    </w:p>
    <w:p w:rsidR="00000000" w:rsidDel="00000000" w:rsidP="00000000" w:rsidRDefault="00000000" w:rsidRPr="00000000" w14:paraId="0000001C">
      <w:pPr>
        <w:spacing w:after="240" w:before="240" w:lineRule="auto"/>
        <w:rPr>
          <w:sz w:val="24"/>
          <w:szCs w:val="24"/>
        </w:rPr>
      </w:pPr>
      <w:r w:rsidDel="00000000" w:rsidR="00000000" w:rsidRPr="00000000">
        <w:rPr>
          <w:sz w:val="24"/>
          <w:szCs w:val="24"/>
          <w:rtl w:val="0"/>
        </w:rPr>
        <w:t xml:space="preserve">This statement contradicts the Ombudsman’s own findings regarding her registered interest and statutory notice.</w:t>
      </w:r>
    </w:p>
    <w:p w:rsidR="00000000" w:rsidDel="00000000" w:rsidP="00000000" w:rsidRDefault="00000000" w:rsidRPr="00000000" w14:paraId="0000001D">
      <w:pPr>
        <w:pStyle w:val="Heading2"/>
        <w:keepNext w:val="0"/>
        <w:keepLines w:val="0"/>
        <w:spacing w:after="80" w:lineRule="auto"/>
        <w:rPr>
          <w:b w:val="1"/>
          <w:bCs w:val="1"/>
          <w:sz w:val="36"/>
          <w:szCs w:val="36"/>
        </w:rPr>
      </w:pPr>
      <w:bookmarkStart w:colFirst="0" w:colLast="0" w:name="_urtisz1x0mpn" w:id="10"/>
      <w:bookmarkEnd w:id="10"/>
      <w:r w:rsidDel="00000000" w:rsidR="00000000" w:rsidRPr="00000000">
        <w:rPr>
          <w:b w:val="1"/>
          <w:bCs w:val="1"/>
          <w:sz w:val="36"/>
          <w:szCs w:val="36"/>
          <w:rtl w:val="0"/>
        </w:rPr>
        <w:t xml:space="preserve">2.5 Vulnerability</w:t>
      </w:r>
    </w:p>
    <w:p w:rsidR="00000000" w:rsidDel="00000000" w:rsidP="00000000" w:rsidRDefault="00000000" w:rsidRPr="00000000" w14:paraId="0000001E">
      <w:pPr>
        <w:spacing w:after="240" w:before="240" w:lineRule="auto"/>
        <w:rPr>
          <w:sz w:val="24"/>
          <w:szCs w:val="24"/>
        </w:rPr>
      </w:pPr>
      <w:r w:rsidDel="00000000" w:rsidR="00000000" w:rsidRPr="00000000">
        <w:rPr>
          <w:sz w:val="24"/>
          <w:szCs w:val="24"/>
          <w:rtl w:val="0"/>
        </w:rPr>
        <w:t xml:space="preserve">Ms Spence is homeless, exposed to cold weather, without legal representation, and in emotional distress.¹¹ The Ombudsman’s decision contains </w:t>
      </w:r>
      <w:r w:rsidDel="00000000" w:rsidR="00000000" w:rsidRPr="00000000">
        <w:rPr>
          <w:b w:val="1"/>
          <w:bCs w:val="1"/>
          <w:sz w:val="24"/>
          <w:szCs w:val="24"/>
          <w:rtl w:val="0"/>
        </w:rPr>
        <w:t xml:space="preserve">no reference</w:t>
      </w:r>
      <w:r w:rsidDel="00000000" w:rsidR="00000000" w:rsidRPr="00000000">
        <w:rPr>
          <w:sz w:val="24"/>
          <w:szCs w:val="24"/>
          <w:rtl w:val="0"/>
        </w:rPr>
        <w:t xml:space="preserve"> to vulnerability.</w:t>
      </w:r>
    </w:p>
    <w:p w:rsidR="00000000" w:rsidDel="00000000" w:rsidP="00000000" w:rsidRDefault="00000000" w:rsidRPr="00000000" w14:paraId="0000001F">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pStyle w:val="Heading1"/>
        <w:keepNext w:val="0"/>
        <w:keepLines w:val="0"/>
        <w:spacing w:before="480" w:lineRule="auto"/>
        <w:rPr>
          <w:b w:val="1"/>
          <w:bCs w:val="1"/>
          <w:sz w:val="48"/>
          <w:szCs w:val="48"/>
        </w:rPr>
      </w:pPr>
      <w:bookmarkStart w:colFirst="0" w:colLast="0" w:name="_vhj3boojinrb" w:id="11"/>
      <w:bookmarkEnd w:id="11"/>
      <w:r w:rsidDel="00000000" w:rsidR="00000000" w:rsidRPr="00000000">
        <w:rPr>
          <w:b w:val="1"/>
          <w:bCs w:val="1"/>
          <w:sz w:val="48"/>
          <w:szCs w:val="48"/>
          <w:rtl w:val="0"/>
        </w:rPr>
        <w:t xml:space="preserve">3. Indicators of Racially Aggravated Procedural Risk</w:t>
      </w:r>
    </w:p>
    <w:p w:rsidR="00000000" w:rsidDel="00000000" w:rsidP="00000000" w:rsidRDefault="00000000" w:rsidRPr="00000000" w14:paraId="00000021">
      <w:pPr>
        <w:pStyle w:val="Heading2"/>
        <w:keepNext w:val="0"/>
        <w:keepLines w:val="0"/>
        <w:spacing w:after="80" w:lineRule="auto"/>
        <w:rPr>
          <w:b w:val="1"/>
          <w:bCs w:val="1"/>
          <w:sz w:val="36"/>
          <w:szCs w:val="36"/>
        </w:rPr>
      </w:pPr>
      <w:bookmarkStart w:colFirst="0" w:colLast="0" w:name="_cs2xt4wx1c49" w:id="12"/>
      <w:bookmarkEnd w:id="12"/>
      <w:r w:rsidDel="00000000" w:rsidR="00000000" w:rsidRPr="00000000">
        <w:rPr>
          <w:b w:val="1"/>
          <w:bCs w:val="1"/>
          <w:sz w:val="36"/>
          <w:szCs w:val="36"/>
          <w:rtl w:val="0"/>
        </w:rPr>
        <w:t xml:space="preserve">3.1 Evidential Dismissal Without Reasoning</w:t>
      </w:r>
    </w:p>
    <w:p w:rsidR="00000000" w:rsidDel="00000000" w:rsidP="00000000" w:rsidRDefault="00000000" w:rsidRPr="00000000" w14:paraId="00000022">
      <w:pPr>
        <w:spacing w:after="240" w:before="240" w:lineRule="auto"/>
        <w:rPr>
          <w:sz w:val="24"/>
          <w:szCs w:val="24"/>
        </w:rPr>
      </w:pPr>
      <w:r w:rsidDel="00000000" w:rsidR="00000000" w:rsidRPr="00000000">
        <w:rPr>
          <w:sz w:val="24"/>
          <w:szCs w:val="24"/>
          <w:rtl w:val="0"/>
        </w:rPr>
        <w:t xml:space="preserve">The Ombudsman states:</w:t>
      </w:r>
    </w:p>
    <w:p w:rsidR="00000000" w:rsidDel="00000000" w:rsidP="00000000" w:rsidRDefault="00000000" w:rsidRPr="00000000" w14:paraId="00000023">
      <w:pPr>
        <w:spacing w:after="240" w:before="240" w:lineRule="auto"/>
        <w:ind w:left="600" w:right="600" w:firstLine="0"/>
        <w:rPr>
          <w:sz w:val="24"/>
          <w:szCs w:val="24"/>
        </w:rPr>
      </w:pPr>
      <w:r w:rsidDel="00000000" w:rsidR="00000000" w:rsidRPr="00000000">
        <w:rPr>
          <w:sz w:val="24"/>
          <w:szCs w:val="24"/>
          <w:rtl w:val="0"/>
        </w:rPr>
        <w:t xml:space="preserve">“Much of it relating to our jurisdiction is factually incorrect.”¹²</w:t>
      </w:r>
    </w:p>
    <w:p w:rsidR="00000000" w:rsidDel="00000000" w:rsidP="00000000" w:rsidRDefault="00000000" w:rsidRPr="00000000" w14:paraId="00000024">
      <w:pPr>
        <w:spacing w:after="240" w:before="240" w:lineRule="auto"/>
        <w:rPr>
          <w:sz w:val="24"/>
          <w:szCs w:val="24"/>
        </w:rPr>
      </w:pPr>
      <w:r w:rsidDel="00000000" w:rsidR="00000000" w:rsidRPr="00000000">
        <w:rPr>
          <w:sz w:val="24"/>
          <w:szCs w:val="24"/>
          <w:rtl w:val="0"/>
        </w:rPr>
        <w:t xml:space="preserve">Yet:</w:t>
      </w:r>
    </w:p>
    <w:p w:rsidR="00000000" w:rsidDel="00000000" w:rsidP="00000000" w:rsidRDefault="00000000" w:rsidRPr="00000000" w14:paraId="00000025">
      <w:pPr>
        <w:numPr>
          <w:ilvl w:val="0"/>
          <w:numId w:val="5"/>
        </w:numPr>
        <w:spacing w:after="0" w:afterAutospacing="0" w:before="240" w:lineRule="auto"/>
        <w:ind w:left="720" w:hanging="360"/>
        <w:rPr>
          <w:sz w:val="24"/>
          <w:szCs w:val="24"/>
        </w:rPr>
      </w:pPr>
      <w:r w:rsidDel="00000000" w:rsidR="00000000" w:rsidRPr="00000000">
        <w:rPr>
          <w:sz w:val="24"/>
          <w:szCs w:val="24"/>
          <w:rtl w:val="0"/>
        </w:rPr>
        <w:t xml:space="preserve">no factual errors are identified</w:t>
      </w:r>
    </w:p>
    <w:p w:rsidR="00000000" w:rsidDel="00000000" w:rsidP="00000000" w:rsidRDefault="00000000" w:rsidRPr="00000000" w14:paraId="00000026">
      <w:pPr>
        <w:numPr>
          <w:ilvl w:val="0"/>
          <w:numId w:val="5"/>
        </w:numPr>
        <w:spacing w:after="0" w:afterAutospacing="0" w:before="0" w:beforeAutospacing="0" w:lineRule="auto"/>
        <w:ind w:left="720" w:hanging="360"/>
        <w:rPr>
          <w:sz w:val="24"/>
          <w:szCs w:val="24"/>
        </w:rPr>
      </w:pPr>
      <w:r w:rsidDel="00000000" w:rsidR="00000000" w:rsidRPr="00000000">
        <w:rPr>
          <w:sz w:val="24"/>
          <w:szCs w:val="24"/>
          <w:rtl w:val="0"/>
        </w:rPr>
        <w:t xml:space="preserve">no reasoning is provided</w:t>
      </w:r>
    </w:p>
    <w:p w:rsidR="00000000" w:rsidDel="00000000" w:rsidP="00000000" w:rsidRDefault="00000000" w:rsidRPr="00000000" w14:paraId="00000027">
      <w:pPr>
        <w:numPr>
          <w:ilvl w:val="0"/>
          <w:numId w:val="5"/>
        </w:numPr>
        <w:spacing w:after="240" w:before="0" w:beforeAutospacing="0" w:lineRule="auto"/>
        <w:ind w:left="720" w:hanging="360"/>
        <w:rPr>
          <w:sz w:val="24"/>
          <w:szCs w:val="24"/>
        </w:rPr>
      </w:pPr>
      <w:r w:rsidDel="00000000" w:rsidR="00000000" w:rsidRPr="00000000">
        <w:rPr>
          <w:sz w:val="24"/>
          <w:szCs w:val="24"/>
          <w:rtl w:val="0"/>
        </w:rPr>
        <w:t xml:space="preserve">no engagement with the submissions occurs</w:t>
      </w:r>
    </w:p>
    <w:p w:rsidR="00000000" w:rsidDel="00000000" w:rsidP="00000000" w:rsidRDefault="00000000" w:rsidRPr="00000000" w14:paraId="00000028">
      <w:pPr>
        <w:spacing w:after="240" w:before="240" w:lineRule="auto"/>
        <w:rPr>
          <w:sz w:val="24"/>
          <w:szCs w:val="24"/>
        </w:rPr>
      </w:pPr>
      <w:r w:rsidDel="00000000" w:rsidR="00000000" w:rsidRPr="00000000">
        <w:rPr>
          <w:sz w:val="24"/>
          <w:szCs w:val="24"/>
          <w:rtl w:val="0"/>
        </w:rPr>
        <w:t xml:space="preserve">This reflects a well‑documented pattern in racially aggravated risk cases: </w:t>
      </w:r>
      <w:r w:rsidDel="00000000" w:rsidR="00000000" w:rsidRPr="00000000">
        <w:rPr>
          <w:b w:val="1"/>
          <w:bCs w:val="1"/>
          <w:sz w:val="24"/>
          <w:szCs w:val="24"/>
          <w:rtl w:val="0"/>
        </w:rPr>
        <w:t xml:space="preserve">the Black complainant’s evidence is dismissed without analysis</w:t>
      </w:r>
      <w:r w:rsidDel="00000000" w:rsidR="00000000" w:rsidRPr="00000000">
        <w:rPr>
          <w:sz w:val="24"/>
          <w:szCs w:val="24"/>
          <w:rtl w:val="0"/>
        </w:rPr>
        <w:t xml:space="preserve">, while institutional assertions are treated as self‑validating.¹³</w:t>
      </w:r>
    </w:p>
    <w:p w:rsidR="00000000" w:rsidDel="00000000" w:rsidP="00000000" w:rsidRDefault="00000000" w:rsidRPr="00000000" w14:paraId="00000029">
      <w:pPr>
        <w:pStyle w:val="Heading2"/>
        <w:keepNext w:val="0"/>
        <w:keepLines w:val="0"/>
        <w:spacing w:after="80" w:lineRule="auto"/>
        <w:rPr>
          <w:b w:val="1"/>
          <w:bCs w:val="1"/>
          <w:sz w:val="36"/>
          <w:szCs w:val="36"/>
        </w:rPr>
      </w:pPr>
      <w:bookmarkStart w:colFirst="0" w:colLast="0" w:name="_bfdbkl8gzwo7" w:id="13"/>
      <w:bookmarkEnd w:id="13"/>
      <w:r w:rsidDel="00000000" w:rsidR="00000000" w:rsidRPr="00000000">
        <w:rPr>
          <w:b w:val="1"/>
          <w:bCs w:val="1"/>
          <w:sz w:val="36"/>
          <w:szCs w:val="36"/>
          <w:rtl w:val="0"/>
        </w:rPr>
        <w:t xml:space="preserve">3.2 Contradictory Findings Used to Justify Exclusion</w:t>
      </w:r>
    </w:p>
    <w:p w:rsidR="00000000" w:rsidDel="00000000" w:rsidP="00000000" w:rsidRDefault="00000000" w:rsidRPr="00000000" w14:paraId="0000002A">
      <w:pPr>
        <w:spacing w:after="240" w:before="240" w:lineRule="auto"/>
        <w:rPr>
          <w:sz w:val="24"/>
          <w:szCs w:val="24"/>
        </w:rPr>
      </w:pPr>
      <w:r w:rsidDel="00000000" w:rsidR="00000000" w:rsidRPr="00000000">
        <w:rPr>
          <w:sz w:val="24"/>
          <w:szCs w:val="24"/>
          <w:rtl w:val="0"/>
        </w:rPr>
        <w:t xml:space="preserve">The Ombudsman’s conclusion that Ms Spence’s “only link” to Barclays was the mortgage¹⁴ contradicts her own findings that:</w:t>
      </w:r>
    </w:p>
    <w:p w:rsidR="00000000" w:rsidDel="00000000" w:rsidP="00000000" w:rsidRDefault="00000000" w:rsidRPr="00000000" w14:paraId="0000002B">
      <w:pPr>
        <w:numPr>
          <w:ilvl w:val="0"/>
          <w:numId w:val="3"/>
        </w:numPr>
        <w:spacing w:after="0" w:afterAutospacing="0" w:before="240" w:lineRule="auto"/>
        <w:ind w:left="720" w:hanging="360"/>
        <w:rPr>
          <w:sz w:val="24"/>
          <w:szCs w:val="24"/>
        </w:rPr>
      </w:pPr>
      <w:r w:rsidDel="00000000" w:rsidR="00000000" w:rsidRPr="00000000">
        <w:rPr>
          <w:sz w:val="24"/>
          <w:szCs w:val="24"/>
          <w:rtl w:val="0"/>
        </w:rPr>
        <w:t xml:space="preserve">Ms Spence registered an interest</w:t>
      </w:r>
    </w:p>
    <w:p w:rsidR="00000000" w:rsidDel="00000000" w:rsidP="00000000" w:rsidRDefault="00000000" w:rsidRPr="00000000" w14:paraId="0000002C">
      <w:pPr>
        <w:numPr>
          <w:ilvl w:val="0"/>
          <w:numId w:val="3"/>
        </w:numPr>
        <w:spacing w:after="0" w:afterAutospacing="0" w:before="0" w:beforeAutospacing="0" w:lineRule="auto"/>
        <w:ind w:left="720" w:hanging="360"/>
        <w:rPr>
          <w:sz w:val="24"/>
          <w:szCs w:val="24"/>
        </w:rPr>
      </w:pPr>
      <w:r w:rsidDel="00000000" w:rsidR="00000000" w:rsidRPr="00000000">
        <w:rPr>
          <w:sz w:val="24"/>
          <w:szCs w:val="24"/>
          <w:rtl w:val="0"/>
        </w:rPr>
        <w:t xml:space="preserve">received a statutory notice</w:t>
      </w:r>
    </w:p>
    <w:p w:rsidR="00000000" w:rsidDel="00000000" w:rsidP="00000000" w:rsidRDefault="00000000" w:rsidRPr="00000000" w14:paraId="0000002D">
      <w:pPr>
        <w:numPr>
          <w:ilvl w:val="0"/>
          <w:numId w:val="3"/>
        </w:numPr>
        <w:spacing w:after="240" w:before="0" w:beforeAutospacing="0" w:lineRule="auto"/>
        <w:ind w:left="720" w:hanging="360"/>
        <w:rPr>
          <w:sz w:val="24"/>
          <w:szCs w:val="24"/>
        </w:rPr>
      </w:pPr>
      <w:r w:rsidDel="00000000" w:rsidR="00000000" w:rsidRPr="00000000">
        <w:rPr>
          <w:sz w:val="24"/>
          <w:szCs w:val="24"/>
          <w:rtl w:val="0"/>
        </w:rPr>
        <w:t xml:space="preserve">had a right to object</w:t>
      </w:r>
    </w:p>
    <w:p w:rsidR="00000000" w:rsidDel="00000000" w:rsidP="00000000" w:rsidRDefault="00000000" w:rsidRPr="00000000" w14:paraId="0000002E">
      <w:pPr>
        <w:spacing w:after="240" w:before="240" w:lineRule="auto"/>
        <w:rPr>
          <w:sz w:val="24"/>
          <w:szCs w:val="24"/>
        </w:rPr>
      </w:pPr>
      <w:r w:rsidDel="00000000" w:rsidR="00000000" w:rsidRPr="00000000">
        <w:rPr>
          <w:sz w:val="24"/>
          <w:szCs w:val="24"/>
          <w:rtl w:val="0"/>
        </w:rPr>
        <w:t xml:space="preserve">This contradiction is a form of </w:t>
      </w:r>
      <w:r w:rsidDel="00000000" w:rsidR="00000000" w:rsidRPr="00000000">
        <w:rPr>
          <w:b w:val="1"/>
          <w:bCs w:val="1"/>
          <w:sz w:val="24"/>
          <w:szCs w:val="24"/>
          <w:rtl w:val="0"/>
        </w:rPr>
        <w:t xml:space="preserve">administrative minimisation</w:t>
      </w:r>
      <w:r w:rsidDel="00000000" w:rsidR="00000000" w:rsidRPr="00000000">
        <w:rPr>
          <w:sz w:val="24"/>
          <w:szCs w:val="24"/>
          <w:rtl w:val="0"/>
        </w:rPr>
        <w:t xml:space="preserve">, a mechanism through which Black complainants’ legal positions are diminished.¹⁵</w:t>
      </w:r>
    </w:p>
    <w:p w:rsidR="00000000" w:rsidDel="00000000" w:rsidP="00000000" w:rsidRDefault="00000000" w:rsidRPr="00000000" w14:paraId="0000002F">
      <w:pPr>
        <w:pStyle w:val="Heading2"/>
        <w:keepNext w:val="0"/>
        <w:keepLines w:val="0"/>
        <w:spacing w:after="80" w:lineRule="auto"/>
        <w:rPr>
          <w:b w:val="1"/>
          <w:bCs w:val="1"/>
          <w:sz w:val="36"/>
          <w:szCs w:val="36"/>
        </w:rPr>
      </w:pPr>
      <w:bookmarkStart w:colFirst="0" w:colLast="0" w:name="_584jb63i3fyh" w:id="14"/>
      <w:bookmarkEnd w:id="14"/>
      <w:r w:rsidDel="00000000" w:rsidR="00000000" w:rsidRPr="00000000">
        <w:rPr>
          <w:b w:val="1"/>
          <w:bCs w:val="1"/>
          <w:sz w:val="36"/>
          <w:szCs w:val="36"/>
          <w:rtl w:val="0"/>
        </w:rPr>
        <w:t xml:space="preserve">3.3 Vulnerability Erasure</w:t>
      </w:r>
    </w:p>
    <w:p w:rsidR="00000000" w:rsidDel="00000000" w:rsidP="00000000" w:rsidRDefault="00000000" w:rsidRPr="00000000" w14:paraId="00000030">
      <w:pPr>
        <w:spacing w:after="240" w:before="240" w:lineRule="auto"/>
        <w:rPr>
          <w:sz w:val="24"/>
          <w:szCs w:val="24"/>
        </w:rPr>
      </w:pPr>
      <w:r w:rsidDel="00000000" w:rsidR="00000000" w:rsidRPr="00000000">
        <w:rPr>
          <w:sz w:val="24"/>
          <w:szCs w:val="24"/>
          <w:rtl w:val="0"/>
        </w:rPr>
        <w:t xml:space="preserve">Despite clear evidence of homelessness and distress, the FOS:</w:t>
      </w:r>
    </w:p>
    <w:p w:rsidR="00000000" w:rsidDel="00000000" w:rsidP="00000000" w:rsidRDefault="00000000" w:rsidRPr="00000000" w14:paraId="00000031">
      <w:pPr>
        <w:numPr>
          <w:ilvl w:val="0"/>
          <w:numId w:val="1"/>
        </w:numPr>
        <w:spacing w:after="0" w:afterAutospacing="0" w:before="240" w:lineRule="auto"/>
        <w:ind w:left="720" w:hanging="360"/>
        <w:rPr>
          <w:sz w:val="24"/>
          <w:szCs w:val="24"/>
        </w:rPr>
      </w:pPr>
      <w:r w:rsidDel="00000000" w:rsidR="00000000" w:rsidRPr="00000000">
        <w:rPr>
          <w:sz w:val="24"/>
          <w:szCs w:val="24"/>
          <w:rtl w:val="0"/>
        </w:rPr>
        <w:t xml:space="preserve">did not identify vulnerability</w:t>
      </w:r>
    </w:p>
    <w:p w:rsidR="00000000" w:rsidDel="00000000" w:rsidP="00000000" w:rsidRDefault="00000000" w:rsidRPr="00000000" w14:paraId="00000032">
      <w:pPr>
        <w:numPr>
          <w:ilvl w:val="0"/>
          <w:numId w:val="1"/>
        </w:numPr>
        <w:spacing w:after="0" w:afterAutospacing="0" w:before="0" w:beforeAutospacing="0" w:lineRule="auto"/>
        <w:ind w:left="720" w:hanging="360"/>
        <w:rPr>
          <w:sz w:val="24"/>
          <w:szCs w:val="24"/>
        </w:rPr>
      </w:pPr>
      <w:r w:rsidDel="00000000" w:rsidR="00000000" w:rsidRPr="00000000">
        <w:rPr>
          <w:sz w:val="24"/>
          <w:szCs w:val="24"/>
          <w:rtl w:val="0"/>
        </w:rPr>
        <w:t xml:space="preserve">did not apply its mandatory policy</w:t>
      </w:r>
    </w:p>
    <w:p w:rsidR="00000000" w:rsidDel="00000000" w:rsidP="00000000" w:rsidRDefault="00000000" w:rsidRPr="00000000" w14:paraId="00000033">
      <w:pPr>
        <w:numPr>
          <w:ilvl w:val="0"/>
          <w:numId w:val="1"/>
        </w:numPr>
        <w:spacing w:after="0" w:afterAutospacing="0" w:before="0" w:beforeAutospacing="0" w:lineRule="auto"/>
        <w:ind w:left="720" w:hanging="360"/>
        <w:rPr>
          <w:sz w:val="24"/>
          <w:szCs w:val="24"/>
        </w:rPr>
      </w:pPr>
      <w:r w:rsidDel="00000000" w:rsidR="00000000" w:rsidRPr="00000000">
        <w:rPr>
          <w:sz w:val="24"/>
          <w:szCs w:val="24"/>
          <w:rtl w:val="0"/>
        </w:rPr>
        <w:t xml:space="preserve">did not adjust communication</w:t>
      </w:r>
    </w:p>
    <w:p w:rsidR="00000000" w:rsidDel="00000000" w:rsidP="00000000" w:rsidRDefault="00000000" w:rsidRPr="00000000" w14:paraId="00000034">
      <w:pPr>
        <w:numPr>
          <w:ilvl w:val="0"/>
          <w:numId w:val="1"/>
        </w:numPr>
        <w:spacing w:after="240" w:before="0" w:beforeAutospacing="0" w:lineRule="auto"/>
        <w:ind w:left="720" w:hanging="360"/>
        <w:rPr>
          <w:sz w:val="24"/>
          <w:szCs w:val="24"/>
        </w:rPr>
      </w:pPr>
      <w:r w:rsidDel="00000000" w:rsidR="00000000" w:rsidRPr="00000000">
        <w:rPr>
          <w:sz w:val="24"/>
          <w:szCs w:val="24"/>
          <w:rtl w:val="0"/>
        </w:rPr>
        <w:t xml:space="preserve">did not provide enhanced support</w:t>
      </w:r>
    </w:p>
    <w:p w:rsidR="00000000" w:rsidDel="00000000" w:rsidP="00000000" w:rsidRDefault="00000000" w:rsidRPr="00000000" w14:paraId="00000035">
      <w:pPr>
        <w:spacing w:after="240" w:before="240" w:lineRule="auto"/>
        <w:rPr>
          <w:sz w:val="24"/>
          <w:szCs w:val="24"/>
        </w:rPr>
      </w:pPr>
      <w:r w:rsidDel="00000000" w:rsidR="00000000" w:rsidRPr="00000000">
        <w:rPr>
          <w:sz w:val="24"/>
          <w:szCs w:val="24"/>
          <w:rtl w:val="0"/>
        </w:rPr>
        <w:t xml:space="preserve">Black complainants are disproportionately affected by vulnerability‑blind processes.¹⁶ The omission constitutes a </w:t>
      </w:r>
      <w:r w:rsidDel="00000000" w:rsidR="00000000" w:rsidRPr="00000000">
        <w:rPr>
          <w:b w:val="1"/>
          <w:bCs w:val="1"/>
          <w:sz w:val="24"/>
          <w:szCs w:val="24"/>
          <w:rtl w:val="0"/>
        </w:rPr>
        <w:t xml:space="preserve">racially aggravated procedural failure</w:t>
      </w:r>
      <w:r w:rsidDel="00000000" w:rsidR="00000000" w:rsidRPr="00000000">
        <w:rPr>
          <w:sz w:val="24"/>
          <w:szCs w:val="24"/>
          <w:rtl w:val="0"/>
        </w:rPr>
        <w:t xml:space="preserve">.</w:t>
      </w:r>
    </w:p>
    <w:p w:rsidR="00000000" w:rsidDel="00000000" w:rsidP="00000000" w:rsidRDefault="00000000" w:rsidRPr="00000000" w14:paraId="00000036">
      <w:pPr>
        <w:pStyle w:val="Heading2"/>
        <w:keepNext w:val="0"/>
        <w:keepLines w:val="0"/>
        <w:spacing w:after="80" w:lineRule="auto"/>
        <w:rPr>
          <w:b w:val="1"/>
          <w:bCs w:val="1"/>
          <w:sz w:val="36"/>
          <w:szCs w:val="36"/>
        </w:rPr>
      </w:pPr>
      <w:bookmarkStart w:colFirst="0" w:colLast="0" w:name="_fej696gdpps" w:id="15"/>
      <w:bookmarkEnd w:id="15"/>
      <w:r w:rsidDel="00000000" w:rsidR="00000000" w:rsidRPr="00000000">
        <w:rPr>
          <w:b w:val="1"/>
          <w:bCs w:val="1"/>
          <w:sz w:val="36"/>
          <w:szCs w:val="36"/>
          <w:rtl w:val="0"/>
        </w:rPr>
        <w:t xml:space="preserve">3.4 Structural Conflict of Interest in Internal Review</w:t>
      </w:r>
    </w:p>
    <w:p w:rsidR="00000000" w:rsidDel="00000000" w:rsidP="00000000" w:rsidRDefault="00000000" w:rsidRPr="00000000" w14:paraId="00000037">
      <w:pPr>
        <w:spacing w:after="240" w:before="240" w:lineRule="auto"/>
        <w:rPr>
          <w:sz w:val="24"/>
          <w:szCs w:val="24"/>
        </w:rPr>
      </w:pPr>
      <w:r w:rsidDel="00000000" w:rsidR="00000000" w:rsidRPr="00000000">
        <w:rPr>
          <w:sz w:val="24"/>
          <w:szCs w:val="24"/>
          <w:rtl w:val="0"/>
        </w:rPr>
        <w:t xml:space="preserve">The internal service‑complaint response was issued by a manager who stated:</w:t>
      </w:r>
    </w:p>
    <w:p w:rsidR="00000000" w:rsidDel="00000000" w:rsidP="00000000" w:rsidRDefault="00000000" w:rsidRPr="00000000" w14:paraId="00000038">
      <w:pPr>
        <w:spacing w:after="240" w:before="240" w:lineRule="auto"/>
        <w:ind w:left="600" w:right="600" w:firstLine="0"/>
        <w:rPr>
          <w:sz w:val="24"/>
          <w:szCs w:val="24"/>
        </w:rPr>
      </w:pPr>
      <w:r w:rsidDel="00000000" w:rsidR="00000000" w:rsidRPr="00000000">
        <w:rPr>
          <w:sz w:val="24"/>
          <w:szCs w:val="24"/>
          <w:rtl w:val="0"/>
        </w:rPr>
        <w:t xml:space="preserve">“I manage the Ombudsman that issued the decision.”¹⁷</w:t>
      </w:r>
    </w:p>
    <w:p w:rsidR="00000000" w:rsidDel="00000000" w:rsidP="00000000" w:rsidRDefault="00000000" w:rsidRPr="00000000" w14:paraId="00000039">
      <w:pPr>
        <w:spacing w:after="240" w:before="240" w:lineRule="auto"/>
        <w:rPr>
          <w:sz w:val="24"/>
          <w:szCs w:val="24"/>
        </w:rPr>
      </w:pPr>
      <w:r w:rsidDel="00000000" w:rsidR="00000000" w:rsidRPr="00000000">
        <w:rPr>
          <w:sz w:val="24"/>
          <w:szCs w:val="24"/>
          <w:rtl w:val="0"/>
        </w:rPr>
        <w:t xml:space="preserve">This is a </w:t>
      </w:r>
      <w:r w:rsidDel="00000000" w:rsidR="00000000" w:rsidRPr="00000000">
        <w:rPr>
          <w:b w:val="1"/>
          <w:bCs w:val="1"/>
          <w:sz w:val="24"/>
          <w:szCs w:val="24"/>
          <w:rtl w:val="0"/>
        </w:rPr>
        <w:t xml:space="preserve">governance defect</w:t>
      </w:r>
      <w:r w:rsidDel="00000000" w:rsidR="00000000" w:rsidRPr="00000000">
        <w:rPr>
          <w:sz w:val="24"/>
          <w:szCs w:val="24"/>
          <w:rtl w:val="0"/>
        </w:rPr>
        <w:t xml:space="preserve">. In racially aggravated risk analysis, such defects disproportionately harm Black complainants because institutional self‑protection overrides fairness.¹⁸</w:t>
      </w:r>
    </w:p>
    <w:p w:rsidR="00000000" w:rsidDel="00000000" w:rsidP="00000000" w:rsidRDefault="00000000" w:rsidRPr="00000000" w14:paraId="0000003A">
      <w:pPr>
        <w:pStyle w:val="Heading2"/>
        <w:keepNext w:val="0"/>
        <w:keepLines w:val="0"/>
        <w:spacing w:after="80" w:lineRule="auto"/>
        <w:rPr>
          <w:b w:val="1"/>
          <w:bCs w:val="1"/>
          <w:sz w:val="36"/>
          <w:szCs w:val="36"/>
        </w:rPr>
      </w:pPr>
      <w:bookmarkStart w:colFirst="0" w:colLast="0" w:name="_xgjm9magdssq" w:id="16"/>
      <w:bookmarkEnd w:id="16"/>
      <w:r w:rsidDel="00000000" w:rsidR="00000000" w:rsidRPr="00000000">
        <w:rPr>
          <w:b w:val="1"/>
          <w:bCs w:val="1"/>
          <w:sz w:val="36"/>
          <w:szCs w:val="36"/>
          <w:rtl w:val="0"/>
        </w:rPr>
        <w:t xml:space="preserve">3.5 Misleading Escalation Information</w:t>
      </w:r>
    </w:p>
    <w:p w:rsidR="00000000" w:rsidDel="00000000" w:rsidP="00000000" w:rsidRDefault="00000000" w:rsidRPr="00000000" w14:paraId="0000003B">
      <w:pPr>
        <w:spacing w:after="240" w:before="240" w:lineRule="auto"/>
        <w:rPr>
          <w:sz w:val="24"/>
          <w:szCs w:val="24"/>
        </w:rPr>
      </w:pPr>
      <w:r w:rsidDel="00000000" w:rsidR="00000000" w:rsidRPr="00000000">
        <w:rPr>
          <w:sz w:val="24"/>
          <w:szCs w:val="24"/>
          <w:rtl w:val="0"/>
        </w:rPr>
        <w:t xml:space="preserve">Senior Investigator Eva Myers wrote:</w:t>
      </w:r>
    </w:p>
    <w:p w:rsidR="00000000" w:rsidDel="00000000" w:rsidP="00000000" w:rsidRDefault="00000000" w:rsidRPr="00000000" w14:paraId="0000003C">
      <w:pPr>
        <w:spacing w:after="240" w:before="240" w:lineRule="auto"/>
        <w:ind w:left="600" w:right="600" w:firstLine="0"/>
        <w:rPr>
          <w:sz w:val="24"/>
          <w:szCs w:val="24"/>
        </w:rPr>
      </w:pPr>
      <w:r w:rsidDel="00000000" w:rsidR="00000000" w:rsidRPr="00000000">
        <w:rPr>
          <w:sz w:val="24"/>
          <w:szCs w:val="24"/>
          <w:rtl w:val="0"/>
        </w:rPr>
        <w:t xml:space="preserve">“We can’t take things any further.”¹⁹</w:t>
      </w:r>
    </w:p>
    <w:p w:rsidR="00000000" w:rsidDel="00000000" w:rsidP="00000000" w:rsidRDefault="00000000" w:rsidRPr="00000000" w14:paraId="0000003D">
      <w:pPr>
        <w:spacing w:after="240" w:before="240" w:lineRule="auto"/>
        <w:rPr>
          <w:sz w:val="24"/>
          <w:szCs w:val="24"/>
        </w:rPr>
      </w:pPr>
      <w:r w:rsidDel="00000000" w:rsidR="00000000" w:rsidRPr="00000000">
        <w:rPr>
          <w:sz w:val="24"/>
          <w:szCs w:val="24"/>
          <w:rtl w:val="0"/>
        </w:rPr>
        <w:t xml:space="preserve">This is misleading because the Independent Assessor </w:t>
      </w:r>
      <w:r w:rsidDel="00000000" w:rsidR="00000000" w:rsidRPr="00000000">
        <w:rPr>
          <w:i w:val="1"/>
          <w:iCs w:val="1"/>
          <w:sz w:val="24"/>
          <w:szCs w:val="24"/>
          <w:rtl w:val="0"/>
        </w:rPr>
        <w:t xml:space="preserve">can</w:t>
      </w:r>
      <w:r w:rsidDel="00000000" w:rsidR="00000000" w:rsidRPr="00000000">
        <w:rPr>
          <w:sz w:val="24"/>
          <w:szCs w:val="24"/>
          <w:rtl w:val="0"/>
        </w:rPr>
        <w:t xml:space="preserve"> review service failures. Misleading procedural information is a documented feature of racially aggravated risk, where Black complainants are more likely to be </w:t>
      </w:r>
      <w:r w:rsidDel="00000000" w:rsidR="00000000" w:rsidRPr="00000000">
        <w:rPr>
          <w:b w:val="1"/>
          <w:bCs w:val="1"/>
          <w:sz w:val="24"/>
          <w:szCs w:val="24"/>
          <w:rtl w:val="0"/>
        </w:rPr>
        <w:t xml:space="preserve">discouraged from escalating</w:t>
      </w:r>
      <w:r w:rsidDel="00000000" w:rsidR="00000000" w:rsidRPr="00000000">
        <w:rPr>
          <w:sz w:val="24"/>
          <w:szCs w:val="24"/>
          <w:rtl w:val="0"/>
        </w:rPr>
        <w:t xml:space="preserve">.²⁰</w:t>
      </w:r>
    </w:p>
    <w:p w:rsidR="00000000" w:rsidDel="00000000" w:rsidP="00000000" w:rsidRDefault="00000000" w:rsidRPr="00000000" w14:paraId="0000003E">
      <w:pPr>
        <w:pStyle w:val="Heading2"/>
        <w:keepNext w:val="0"/>
        <w:keepLines w:val="0"/>
        <w:spacing w:after="80" w:lineRule="auto"/>
        <w:rPr>
          <w:b w:val="1"/>
          <w:bCs w:val="1"/>
          <w:sz w:val="36"/>
          <w:szCs w:val="36"/>
        </w:rPr>
      </w:pPr>
      <w:bookmarkStart w:colFirst="0" w:colLast="0" w:name="_ce8ax16lrmhv" w:id="17"/>
      <w:bookmarkEnd w:id="17"/>
      <w:r w:rsidDel="00000000" w:rsidR="00000000" w:rsidRPr="00000000">
        <w:rPr>
          <w:b w:val="1"/>
          <w:bCs w:val="1"/>
          <w:sz w:val="36"/>
          <w:szCs w:val="36"/>
          <w:rtl w:val="0"/>
        </w:rPr>
        <w:t xml:space="preserve">3.6 Rushed Internal Review After IA Contact</w:t>
      </w:r>
    </w:p>
    <w:p w:rsidR="00000000" w:rsidDel="00000000" w:rsidP="00000000" w:rsidRDefault="00000000" w:rsidRPr="00000000" w14:paraId="0000003F">
      <w:pPr>
        <w:spacing w:after="240" w:before="240" w:lineRule="auto"/>
        <w:rPr>
          <w:sz w:val="24"/>
          <w:szCs w:val="24"/>
        </w:rPr>
      </w:pPr>
      <w:r w:rsidDel="00000000" w:rsidR="00000000" w:rsidRPr="00000000">
        <w:rPr>
          <w:sz w:val="24"/>
          <w:szCs w:val="24"/>
          <w:rtl w:val="0"/>
        </w:rPr>
        <w:t xml:space="preserve">The internal service‑complaint outcome was issued </w:t>
      </w:r>
      <w:r w:rsidDel="00000000" w:rsidR="00000000" w:rsidRPr="00000000">
        <w:rPr>
          <w:b w:val="1"/>
          <w:bCs w:val="1"/>
          <w:sz w:val="24"/>
          <w:szCs w:val="24"/>
          <w:rtl w:val="0"/>
        </w:rPr>
        <w:t xml:space="preserve">three days</w:t>
      </w:r>
      <w:r w:rsidDel="00000000" w:rsidR="00000000" w:rsidRPr="00000000">
        <w:rPr>
          <w:sz w:val="24"/>
          <w:szCs w:val="24"/>
          <w:rtl w:val="0"/>
        </w:rPr>
        <w:t xml:space="preserve"> after submission.²¹ This occurred after the Independent Assessor had already been contacted.²² The timing suggests an attempt to:</w:t>
      </w:r>
    </w:p>
    <w:p w:rsidR="00000000" w:rsidDel="00000000" w:rsidP="00000000" w:rsidRDefault="00000000" w:rsidRPr="00000000" w14:paraId="00000040">
      <w:pPr>
        <w:numPr>
          <w:ilvl w:val="0"/>
          <w:numId w:val="6"/>
        </w:numPr>
        <w:spacing w:after="0" w:afterAutospacing="0" w:before="240" w:lineRule="auto"/>
        <w:ind w:left="720" w:hanging="360"/>
        <w:rPr>
          <w:sz w:val="24"/>
          <w:szCs w:val="24"/>
        </w:rPr>
      </w:pPr>
      <w:r w:rsidDel="00000000" w:rsidR="00000000" w:rsidRPr="00000000">
        <w:rPr>
          <w:sz w:val="24"/>
          <w:szCs w:val="24"/>
          <w:rtl w:val="0"/>
        </w:rPr>
        <w:t xml:space="preserve">close the file</w:t>
      </w:r>
    </w:p>
    <w:p w:rsidR="00000000" w:rsidDel="00000000" w:rsidP="00000000" w:rsidRDefault="00000000" w:rsidRPr="00000000" w14:paraId="00000041">
      <w:pPr>
        <w:numPr>
          <w:ilvl w:val="0"/>
          <w:numId w:val="6"/>
        </w:numPr>
        <w:spacing w:after="0" w:afterAutospacing="0" w:before="0" w:beforeAutospacing="0" w:lineRule="auto"/>
        <w:ind w:left="720" w:hanging="360"/>
        <w:rPr>
          <w:sz w:val="24"/>
          <w:szCs w:val="24"/>
        </w:rPr>
      </w:pPr>
      <w:r w:rsidDel="00000000" w:rsidR="00000000" w:rsidRPr="00000000">
        <w:rPr>
          <w:sz w:val="24"/>
          <w:szCs w:val="24"/>
          <w:rtl w:val="0"/>
        </w:rPr>
        <w:t xml:space="preserve">pre‑empt IA involvement</w:t>
      </w:r>
    </w:p>
    <w:p w:rsidR="00000000" w:rsidDel="00000000" w:rsidP="00000000" w:rsidRDefault="00000000" w:rsidRPr="00000000" w14:paraId="00000042">
      <w:pPr>
        <w:numPr>
          <w:ilvl w:val="0"/>
          <w:numId w:val="6"/>
        </w:numPr>
        <w:spacing w:after="240" w:before="0" w:beforeAutospacing="0" w:lineRule="auto"/>
        <w:ind w:left="720" w:hanging="360"/>
        <w:rPr>
          <w:sz w:val="24"/>
          <w:szCs w:val="24"/>
        </w:rPr>
      </w:pPr>
      <w:r w:rsidDel="00000000" w:rsidR="00000000" w:rsidRPr="00000000">
        <w:rPr>
          <w:sz w:val="24"/>
          <w:szCs w:val="24"/>
          <w:rtl w:val="0"/>
        </w:rPr>
        <w:t xml:space="preserve">protect institutional actors</w:t>
      </w:r>
    </w:p>
    <w:p w:rsidR="00000000" w:rsidDel="00000000" w:rsidP="00000000" w:rsidRDefault="00000000" w:rsidRPr="00000000" w14:paraId="00000043">
      <w:pPr>
        <w:spacing w:after="240" w:before="240" w:lineRule="auto"/>
        <w:rPr>
          <w:sz w:val="24"/>
          <w:szCs w:val="24"/>
        </w:rPr>
      </w:pPr>
      <w:r w:rsidDel="00000000" w:rsidR="00000000" w:rsidRPr="00000000">
        <w:rPr>
          <w:sz w:val="24"/>
          <w:szCs w:val="24"/>
          <w:rtl w:val="0"/>
        </w:rPr>
        <w:t xml:space="preserve">This behaviour aligns with the “institutional defensiveness” component of racially aggravated risk.²³</w:t>
      </w:r>
    </w:p>
    <w:p w:rsidR="00000000" w:rsidDel="00000000" w:rsidP="00000000" w:rsidRDefault="00000000" w:rsidRPr="00000000" w14:paraId="00000044">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5">
      <w:pPr>
        <w:pStyle w:val="Heading1"/>
        <w:keepNext w:val="0"/>
        <w:keepLines w:val="0"/>
        <w:spacing w:before="480" w:lineRule="auto"/>
        <w:rPr>
          <w:b w:val="1"/>
          <w:bCs w:val="1"/>
          <w:sz w:val="48"/>
          <w:szCs w:val="48"/>
        </w:rPr>
      </w:pPr>
      <w:bookmarkStart w:colFirst="0" w:colLast="0" w:name="_22w8u8tisdlm" w:id="18"/>
      <w:bookmarkEnd w:id="18"/>
      <w:r w:rsidDel="00000000" w:rsidR="00000000" w:rsidRPr="00000000">
        <w:rPr>
          <w:b w:val="1"/>
          <w:bCs w:val="1"/>
          <w:sz w:val="48"/>
          <w:szCs w:val="48"/>
          <w:rtl w:val="0"/>
        </w:rPr>
        <w:t xml:space="preserve">4. Doctrinal Analysis</w:t>
      </w:r>
    </w:p>
    <w:p w:rsidR="00000000" w:rsidDel="00000000" w:rsidP="00000000" w:rsidRDefault="00000000" w:rsidRPr="00000000" w14:paraId="00000046">
      <w:pPr>
        <w:spacing w:after="240" w:before="240" w:lineRule="auto"/>
        <w:rPr>
          <w:sz w:val="24"/>
          <w:szCs w:val="24"/>
        </w:rPr>
      </w:pPr>
      <w:r w:rsidDel="00000000" w:rsidR="00000000" w:rsidRPr="00000000">
        <w:rPr>
          <w:sz w:val="24"/>
          <w:szCs w:val="24"/>
          <w:rtl w:val="0"/>
        </w:rPr>
        <w:t xml:space="preserve">The case demonstrates the following doctrinal mechanisms:</w:t>
      </w:r>
    </w:p>
    <w:p w:rsidR="00000000" w:rsidDel="00000000" w:rsidP="00000000" w:rsidRDefault="00000000" w:rsidRPr="00000000" w14:paraId="00000047">
      <w:pPr>
        <w:pStyle w:val="Heading3"/>
        <w:keepNext w:val="0"/>
        <w:keepLines w:val="0"/>
        <w:spacing w:before="280" w:lineRule="auto"/>
        <w:rPr>
          <w:b w:val="1"/>
          <w:bCs w:val="1"/>
          <w:color w:val="000000"/>
        </w:rPr>
      </w:pPr>
      <w:bookmarkStart w:colFirst="0" w:colLast="0" w:name="_j6leradklm00" w:id="19"/>
      <w:bookmarkEnd w:id="19"/>
      <w:r w:rsidDel="00000000" w:rsidR="00000000" w:rsidRPr="00000000">
        <w:rPr>
          <w:b w:val="1"/>
          <w:bCs w:val="1"/>
          <w:color w:val="000000"/>
          <w:rtl w:val="0"/>
        </w:rPr>
        <w:t xml:space="preserve">4.1 Evidential Devaluation</w:t>
      </w:r>
    </w:p>
    <w:p w:rsidR="00000000" w:rsidDel="00000000" w:rsidP="00000000" w:rsidRDefault="00000000" w:rsidRPr="00000000" w14:paraId="00000048">
      <w:pPr>
        <w:spacing w:after="240" w:before="240" w:lineRule="auto"/>
        <w:rPr>
          <w:sz w:val="24"/>
          <w:szCs w:val="24"/>
        </w:rPr>
      </w:pPr>
      <w:r w:rsidDel="00000000" w:rsidR="00000000" w:rsidRPr="00000000">
        <w:rPr>
          <w:sz w:val="24"/>
          <w:szCs w:val="24"/>
          <w:rtl w:val="0"/>
        </w:rPr>
        <w:t xml:space="preserve">Black complainants’ submissions are treated as inherently less credible.²⁴</w:t>
      </w:r>
    </w:p>
    <w:p w:rsidR="00000000" w:rsidDel="00000000" w:rsidP="00000000" w:rsidRDefault="00000000" w:rsidRPr="00000000" w14:paraId="00000049">
      <w:pPr>
        <w:pStyle w:val="Heading3"/>
        <w:keepNext w:val="0"/>
        <w:keepLines w:val="0"/>
        <w:spacing w:before="280" w:lineRule="auto"/>
        <w:rPr>
          <w:b w:val="1"/>
          <w:bCs w:val="1"/>
          <w:color w:val="000000"/>
        </w:rPr>
      </w:pPr>
      <w:bookmarkStart w:colFirst="0" w:colLast="0" w:name="_mn6memwxymxb" w:id="20"/>
      <w:bookmarkEnd w:id="20"/>
      <w:r w:rsidDel="00000000" w:rsidR="00000000" w:rsidRPr="00000000">
        <w:rPr>
          <w:b w:val="1"/>
          <w:bCs w:val="1"/>
          <w:color w:val="000000"/>
          <w:rtl w:val="0"/>
        </w:rPr>
        <w:t xml:space="preserve">4.2 Procedural Gatekeeping</w:t>
      </w:r>
    </w:p>
    <w:p w:rsidR="00000000" w:rsidDel="00000000" w:rsidP="00000000" w:rsidRDefault="00000000" w:rsidRPr="00000000" w14:paraId="0000004A">
      <w:pPr>
        <w:spacing w:after="240" w:before="240" w:lineRule="auto"/>
        <w:rPr>
          <w:sz w:val="24"/>
          <w:szCs w:val="24"/>
        </w:rPr>
      </w:pPr>
      <w:r w:rsidDel="00000000" w:rsidR="00000000" w:rsidRPr="00000000">
        <w:rPr>
          <w:sz w:val="24"/>
          <w:szCs w:val="24"/>
          <w:rtl w:val="0"/>
        </w:rPr>
        <w:t xml:space="preserve">Jurisdictional rules are applied narrowly to exclude the complainant.²⁵</w:t>
      </w:r>
    </w:p>
    <w:p w:rsidR="00000000" w:rsidDel="00000000" w:rsidP="00000000" w:rsidRDefault="00000000" w:rsidRPr="00000000" w14:paraId="0000004B">
      <w:pPr>
        <w:pStyle w:val="Heading3"/>
        <w:keepNext w:val="0"/>
        <w:keepLines w:val="0"/>
        <w:spacing w:before="280" w:lineRule="auto"/>
        <w:rPr>
          <w:b w:val="1"/>
          <w:bCs w:val="1"/>
          <w:color w:val="000000"/>
        </w:rPr>
      </w:pPr>
      <w:bookmarkStart w:colFirst="0" w:colLast="0" w:name="_t2hjjt8igjoh" w:id="21"/>
      <w:bookmarkEnd w:id="21"/>
      <w:r w:rsidDel="00000000" w:rsidR="00000000" w:rsidRPr="00000000">
        <w:rPr>
          <w:b w:val="1"/>
          <w:bCs w:val="1"/>
          <w:color w:val="000000"/>
          <w:rtl w:val="0"/>
        </w:rPr>
        <w:t xml:space="preserve">4.3 Administrative Minimisation</w:t>
      </w:r>
    </w:p>
    <w:p w:rsidR="00000000" w:rsidDel="00000000" w:rsidP="00000000" w:rsidRDefault="00000000" w:rsidRPr="00000000" w14:paraId="0000004C">
      <w:pPr>
        <w:spacing w:after="240" w:before="240" w:lineRule="auto"/>
        <w:rPr>
          <w:sz w:val="24"/>
          <w:szCs w:val="24"/>
        </w:rPr>
      </w:pPr>
      <w:r w:rsidDel="00000000" w:rsidR="00000000" w:rsidRPr="00000000">
        <w:rPr>
          <w:sz w:val="24"/>
          <w:szCs w:val="24"/>
          <w:rtl w:val="0"/>
        </w:rPr>
        <w:t xml:space="preserve">Key facts supporting the complainant’s position are omitted or contradicted.²⁶</w:t>
      </w:r>
    </w:p>
    <w:p w:rsidR="00000000" w:rsidDel="00000000" w:rsidP="00000000" w:rsidRDefault="00000000" w:rsidRPr="00000000" w14:paraId="0000004D">
      <w:pPr>
        <w:pStyle w:val="Heading3"/>
        <w:keepNext w:val="0"/>
        <w:keepLines w:val="0"/>
        <w:spacing w:before="280" w:lineRule="auto"/>
        <w:rPr>
          <w:b w:val="1"/>
          <w:bCs w:val="1"/>
          <w:color w:val="000000"/>
        </w:rPr>
      </w:pPr>
      <w:bookmarkStart w:colFirst="0" w:colLast="0" w:name="_m82fhm9b0os" w:id="22"/>
      <w:bookmarkEnd w:id="22"/>
      <w:r w:rsidDel="00000000" w:rsidR="00000000" w:rsidRPr="00000000">
        <w:rPr>
          <w:b w:val="1"/>
          <w:bCs w:val="1"/>
          <w:color w:val="000000"/>
          <w:rtl w:val="0"/>
        </w:rPr>
        <w:t xml:space="preserve">4.4 Vulnerability Erasure</w:t>
      </w:r>
    </w:p>
    <w:p w:rsidR="00000000" w:rsidDel="00000000" w:rsidP="00000000" w:rsidRDefault="00000000" w:rsidRPr="00000000" w14:paraId="0000004E">
      <w:pPr>
        <w:spacing w:after="240" w:before="240" w:lineRule="auto"/>
        <w:rPr>
          <w:sz w:val="24"/>
          <w:szCs w:val="24"/>
        </w:rPr>
      </w:pPr>
      <w:r w:rsidDel="00000000" w:rsidR="00000000" w:rsidRPr="00000000">
        <w:rPr>
          <w:sz w:val="24"/>
          <w:szCs w:val="24"/>
          <w:rtl w:val="0"/>
        </w:rPr>
        <w:t xml:space="preserve">Mandatory vulnerability obligations are ignored.²⁷</w:t>
      </w:r>
    </w:p>
    <w:p w:rsidR="00000000" w:rsidDel="00000000" w:rsidP="00000000" w:rsidRDefault="00000000" w:rsidRPr="00000000" w14:paraId="0000004F">
      <w:pPr>
        <w:pStyle w:val="Heading3"/>
        <w:keepNext w:val="0"/>
        <w:keepLines w:val="0"/>
        <w:spacing w:before="280" w:lineRule="auto"/>
        <w:rPr>
          <w:b w:val="1"/>
          <w:bCs w:val="1"/>
          <w:color w:val="000000"/>
        </w:rPr>
      </w:pPr>
      <w:bookmarkStart w:colFirst="0" w:colLast="0" w:name="_j0azym523sm7" w:id="23"/>
      <w:bookmarkEnd w:id="23"/>
      <w:r w:rsidDel="00000000" w:rsidR="00000000" w:rsidRPr="00000000">
        <w:rPr>
          <w:b w:val="1"/>
          <w:bCs w:val="1"/>
          <w:color w:val="000000"/>
          <w:rtl w:val="0"/>
        </w:rPr>
        <w:t xml:space="preserve">4.5 Institutional Self‑Protection</w:t>
      </w:r>
    </w:p>
    <w:p w:rsidR="00000000" w:rsidDel="00000000" w:rsidP="00000000" w:rsidRDefault="00000000" w:rsidRPr="00000000" w14:paraId="00000050">
      <w:pPr>
        <w:spacing w:after="240" w:before="240" w:lineRule="auto"/>
        <w:rPr>
          <w:sz w:val="24"/>
          <w:szCs w:val="24"/>
        </w:rPr>
      </w:pPr>
      <w:r w:rsidDel="00000000" w:rsidR="00000000" w:rsidRPr="00000000">
        <w:rPr>
          <w:sz w:val="24"/>
          <w:szCs w:val="24"/>
          <w:rtl w:val="0"/>
        </w:rPr>
        <w:t xml:space="preserve">Internal review is conducted by a manager of the decision‑maker.²⁸</w:t>
      </w:r>
    </w:p>
    <w:p w:rsidR="00000000" w:rsidDel="00000000" w:rsidP="00000000" w:rsidRDefault="00000000" w:rsidRPr="00000000" w14:paraId="00000051">
      <w:pPr>
        <w:pStyle w:val="Heading3"/>
        <w:keepNext w:val="0"/>
        <w:keepLines w:val="0"/>
        <w:spacing w:before="280" w:lineRule="auto"/>
        <w:rPr>
          <w:b w:val="1"/>
          <w:bCs w:val="1"/>
          <w:color w:val="000000"/>
        </w:rPr>
      </w:pPr>
      <w:bookmarkStart w:colFirst="0" w:colLast="0" w:name="_g8qf567425du" w:id="24"/>
      <w:bookmarkEnd w:id="24"/>
      <w:r w:rsidDel="00000000" w:rsidR="00000000" w:rsidRPr="00000000">
        <w:rPr>
          <w:b w:val="1"/>
          <w:bCs w:val="1"/>
          <w:color w:val="000000"/>
          <w:rtl w:val="0"/>
        </w:rPr>
        <w:t xml:space="preserve">4.6 Escalation Deterrence</w:t>
      </w:r>
    </w:p>
    <w:p w:rsidR="00000000" w:rsidDel="00000000" w:rsidP="00000000" w:rsidRDefault="00000000" w:rsidRPr="00000000" w14:paraId="00000052">
      <w:pPr>
        <w:spacing w:after="240" w:before="240" w:lineRule="auto"/>
        <w:rPr>
          <w:sz w:val="24"/>
          <w:szCs w:val="24"/>
        </w:rPr>
      </w:pPr>
      <w:r w:rsidDel="00000000" w:rsidR="00000000" w:rsidRPr="00000000">
        <w:rPr>
          <w:sz w:val="24"/>
          <w:szCs w:val="24"/>
          <w:rtl w:val="0"/>
        </w:rPr>
        <w:t xml:space="preserve">Communications imply no further review is possible.²⁹</w:t>
      </w:r>
    </w:p>
    <w:p w:rsidR="00000000" w:rsidDel="00000000" w:rsidP="00000000" w:rsidRDefault="00000000" w:rsidRPr="00000000" w14:paraId="00000053">
      <w:pPr>
        <w:spacing w:after="240" w:before="240" w:lineRule="auto"/>
        <w:rPr>
          <w:sz w:val="24"/>
          <w:szCs w:val="24"/>
        </w:rPr>
      </w:pPr>
      <w:r w:rsidDel="00000000" w:rsidR="00000000" w:rsidRPr="00000000">
        <w:rPr>
          <w:sz w:val="24"/>
          <w:szCs w:val="24"/>
          <w:rtl w:val="0"/>
        </w:rPr>
        <w:t xml:space="preserve">These mechanisms collectively constitute </w:t>
      </w:r>
      <w:r w:rsidDel="00000000" w:rsidR="00000000" w:rsidRPr="00000000">
        <w:rPr>
          <w:b w:val="1"/>
          <w:bCs w:val="1"/>
          <w:sz w:val="24"/>
          <w:szCs w:val="24"/>
          <w:rtl w:val="0"/>
        </w:rPr>
        <w:t xml:space="preserve">racially aggravated procedural risk</w:t>
      </w:r>
      <w:r w:rsidDel="00000000" w:rsidR="00000000" w:rsidRPr="00000000">
        <w:rPr>
          <w:sz w:val="24"/>
          <w:szCs w:val="24"/>
          <w:rtl w:val="0"/>
        </w:rPr>
        <w:t xml:space="preserve">.</w:t>
      </w:r>
    </w:p>
    <w:p w:rsidR="00000000" w:rsidDel="00000000" w:rsidP="00000000" w:rsidRDefault="00000000" w:rsidRPr="00000000" w14:paraId="00000054">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5">
      <w:pPr>
        <w:pStyle w:val="Heading1"/>
        <w:keepNext w:val="0"/>
        <w:keepLines w:val="0"/>
        <w:spacing w:before="480" w:lineRule="auto"/>
        <w:rPr>
          <w:b w:val="1"/>
          <w:bCs w:val="1"/>
          <w:sz w:val="48"/>
          <w:szCs w:val="48"/>
        </w:rPr>
      </w:pPr>
      <w:bookmarkStart w:colFirst="0" w:colLast="0" w:name="_e1gxvp225fcp" w:id="25"/>
      <w:bookmarkEnd w:id="25"/>
      <w:r w:rsidDel="00000000" w:rsidR="00000000" w:rsidRPr="00000000">
        <w:rPr>
          <w:b w:val="1"/>
          <w:bCs w:val="1"/>
          <w:sz w:val="48"/>
          <w:szCs w:val="48"/>
          <w:rtl w:val="0"/>
        </w:rPr>
        <w:t xml:space="preserve">5. Conclusion</w:t>
      </w:r>
    </w:p>
    <w:p w:rsidR="00000000" w:rsidDel="00000000" w:rsidP="00000000" w:rsidRDefault="00000000" w:rsidRPr="00000000" w14:paraId="00000056">
      <w:pPr>
        <w:spacing w:after="240" w:before="240" w:lineRule="auto"/>
        <w:rPr>
          <w:sz w:val="24"/>
          <w:szCs w:val="24"/>
        </w:rPr>
      </w:pPr>
      <w:r w:rsidDel="00000000" w:rsidR="00000000" w:rsidRPr="00000000">
        <w:rPr>
          <w:sz w:val="24"/>
          <w:szCs w:val="24"/>
          <w:rtl w:val="0"/>
        </w:rPr>
        <w:t xml:space="preserve">This case provides a clear, documented example of racially aggravated procedural risk within the Financial Ombudsman Service. The combination of evidential dismissal, contradictory reasoning, vulnerability erasure, misleading communication, and structurally compromised internal review demonstrates a pattern of institutional behaviour that disproportionately disadvantages Black complainants.</w:t>
      </w:r>
    </w:p>
    <w:p w:rsidR="00000000" w:rsidDel="00000000" w:rsidP="00000000" w:rsidRDefault="00000000" w:rsidRPr="00000000" w14:paraId="00000057">
      <w:pPr>
        <w:spacing w:after="240" w:before="240" w:lineRule="auto"/>
        <w:rPr>
          <w:sz w:val="24"/>
          <w:szCs w:val="24"/>
        </w:rPr>
      </w:pPr>
      <w:r w:rsidDel="00000000" w:rsidR="00000000" w:rsidRPr="00000000">
        <w:rPr>
          <w:sz w:val="24"/>
          <w:szCs w:val="24"/>
          <w:rtl w:val="0"/>
        </w:rPr>
        <w:t xml:space="preserve">The case is therefore suitable for inclusion in the Black Justice Research Library as a doctrinal example of racially aggravated procedural risk in financial‑regulatory dispute resolution.</w:t>
      </w:r>
    </w:p>
    <w:p w:rsidR="00000000" w:rsidDel="00000000" w:rsidP="00000000" w:rsidRDefault="00000000" w:rsidRPr="00000000" w14:paraId="00000058">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9">
      <w:pPr>
        <w:pStyle w:val="Heading1"/>
        <w:keepNext w:val="0"/>
        <w:keepLines w:val="0"/>
        <w:spacing w:before="480" w:lineRule="auto"/>
        <w:rPr>
          <w:b w:val="1"/>
          <w:bCs w:val="1"/>
          <w:sz w:val="48"/>
          <w:szCs w:val="48"/>
        </w:rPr>
      </w:pPr>
      <w:bookmarkStart w:colFirst="0" w:colLast="0" w:name="_ovk96my717u2" w:id="26"/>
      <w:bookmarkEnd w:id="26"/>
      <w:r w:rsidDel="00000000" w:rsidR="00000000" w:rsidRPr="00000000">
        <w:rPr>
          <w:b w:val="1"/>
          <w:bCs w:val="1"/>
          <w:sz w:val="48"/>
          <w:szCs w:val="48"/>
          <w:rtl w:val="0"/>
        </w:rPr>
        <w:t xml:space="preserve">Footnotes</w:t>
      </w:r>
    </w:p>
    <w:p w:rsidR="00000000" w:rsidDel="00000000" w:rsidP="00000000" w:rsidRDefault="00000000" w:rsidRPr="00000000" w14:paraId="0000005A">
      <w:pPr>
        <w:numPr>
          <w:ilvl w:val="0"/>
          <w:numId w:val="2"/>
        </w:numPr>
        <w:spacing w:after="0" w:afterAutospacing="0" w:before="240" w:lineRule="auto"/>
        <w:ind w:left="720" w:hanging="360"/>
        <w:rPr>
          <w:sz w:val="24"/>
          <w:szCs w:val="24"/>
        </w:rPr>
      </w:pPr>
      <w:r w:rsidDel="00000000" w:rsidR="00000000" w:rsidRPr="00000000">
        <w:rPr>
          <w:sz w:val="24"/>
          <w:szCs w:val="24"/>
          <w:rtl w:val="0"/>
        </w:rPr>
        <w:t xml:space="preserve">Black Justice Research Centre, </w:t>
      </w:r>
      <w:r w:rsidDel="00000000" w:rsidR="00000000" w:rsidRPr="00000000">
        <w:rPr>
          <w:i w:val="1"/>
          <w:iCs w:val="1"/>
          <w:sz w:val="24"/>
          <w:szCs w:val="24"/>
          <w:rtl w:val="0"/>
        </w:rPr>
        <w:t xml:space="preserve">Doctrinal Framework on Racially Aggravated Procedural Risk</w:t>
      </w:r>
      <w:r w:rsidDel="00000000" w:rsidR="00000000" w:rsidRPr="00000000">
        <w:rPr>
          <w:sz w:val="24"/>
          <w:szCs w:val="24"/>
          <w:rtl w:val="0"/>
        </w:rPr>
        <w:t xml:space="preserve"> (forthcoming).</w:t>
      </w:r>
    </w:p>
    <w:p w:rsidR="00000000" w:rsidDel="00000000" w:rsidP="00000000" w:rsidRDefault="00000000" w:rsidRPr="00000000" w14:paraId="0000005B">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Ombudsman’s Decision, p.1.</w:t>
      </w:r>
    </w:p>
    <w:p w:rsidR="00000000" w:rsidDel="00000000" w:rsidP="00000000" w:rsidRDefault="00000000" w:rsidRPr="00000000" w14:paraId="0000005C">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Ibid.</w:t>
      </w:r>
    </w:p>
    <w:p w:rsidR="00000000" w:rsidDel="00000000" w:rsidP="00000000" w:rsidRDefault="00000000" w:rsidRPr="00000000" w14:paraId="0000005D">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Ibid.</w:t>
      </w:r>
    </w:p>
    <w:p w:rsidR="00000000" w:rsidDel="00000000" w:rsidP="00000000" w:rsidRDefault="00000000" w:rsidRPr="00000000" w14:paraId="0000005E">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Ibid.</w:t>
      </w:r>
    </w:p>
    <w:p w:rsidR="00000000" w:rsidDel="00000000" w:rsidP="00000000" w:rsidRDefault="00000000" w:rsidRPr="00000000" w14:paraId="0000005F">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Ibid.</w:t>
      </w:r>
    </w:p>
    <w:p w:rsidR="00000000" w:rsidDel="00000000" w:rsidP="00000000" w:rsidRDefault="00000000" w:rsidRPr="00000000" w14:paraId="00000060">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Ibid.</w:t>
      </w:r>
    </w:p>
    <w:p w:rsidR="00000000" w:rsidDel="00000000" w:rsidP="00000000" w:rsidRDefault="00000000" w:rsidRPr="00000000" w14:paraId="00000061">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Ibid., summary of Barclays’ correspondence.</w:t>
      </w:r>
    </w:p>
    <w:p w:rsidR="00000000" w:rsidDel="00000000" w:rsidP="00000000" w:rsidRDefault="00000000" w:rsidRPr="00000000" w14:paraId="00000062">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Investigator’s View (as summarised in Ombudsman’s Decision).</w:t>
      </w:r>
    </w:p>
    <w:p w:rsidR="00000000" w:rsidDel="00000000" w:rsidP="00000000" w:rsidRDefault="00000000" w:rsidRPr="00000000" w14:paraId="00000063">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Ombudsman’s Decision, p.2.</w:t>
      </w:r>
    </w:p>
    <w:p w:rsidR="00000000" w:rsidDel="00000000" w:rsidP="00000000" w:rsidRDefault="00000000" w:rsidRPr="00000000" w14:paraId="00000064">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Service Complaint Bundle – Vulnerability Statement.</w:t>
      </w:r>
    </w:p>
    <w:p w:rsidR="00000000" w:rsidDel="00000000" w:rsidP="00000000" w:rsidRDefault="00000000" w:rsidRPr="00000000" w14:paraId="00000065">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Ombudsman’s Decision, p.2.</w:t>
      </w:r>
    </w:p>
    <w:p w:rsidR="00000000" w:rsidDel="00000000" w:rsidP="00000000" w:rsidRDefault="00000000" w:rsidRPr="00000000" w14:paraId="00000066">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Black Justice, </w:t>
      </w:r>
      <w:r w:rsidDel="00000000" w:rsidR="00000000" w:rsidRPr="00000000">
        <w:rPr>
          <w:i w:val="1"/>
          <w:iCs w:val="1"/>
          <w:sz w:val="24"/>
          <w:szCs w:val="24"/>
          <w:rtl w:val="0"/>
        </w:rPr>
        <w:t xml:space="preserve">Evidential Devaluation in Administrative Justice</w:t>
      </w:r>
      <w:r w:rsidDel="00000000" w:rsidR="00000000" w:rsidRPr="00000000">
        <w:rPr>
          <w:sz w:val="24"/>
          <w:szCs w:val="24"/>
          <w:rtl w:val="0"/>
        </w:rPr>
        <w:t xml:space="preserve"> (2025).</w:t>
      </w:r>
    </w:p>
    <w:p w:rsidR="00000000" w:rsidDel="00000000" w:rsidP="00000000" w:rsidRDefault="00000000" w:rsidRPr="00000000" w14:paraId="00000067">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Ombudsman’s Decision, p.2.</w:t>
      </w:r>
    </w:p>
    <w:p w:rsidR="00000000" w:rsidDel="00000000" w:rsidP="00000000" w:rsidRDefault="00000000" w:rsidRPr="00000000" w14:paraId="00000068">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Black Justice, </w:t>
      </w:r>
      <w:r w:rsidDel="00000000" w:rsidR="00000000" w:rsidRPr="00000000">
        <w:rPr>
          <w:i w:val="1"/>
          <w:iCs w:val="1"/>
          <w:sz w:val="24"/>
          <w:szCs w:val="24"/>
          <w:rtl w:val="0"/>
        </w:rPr>
        <w:t xml:space="preserve">Administrative Minimisation and Racialised Harm</w:t>
      </w:r>
      <w:r w:rsidDel="00000000" w:rsidR="00000000" w:rsidRPr="00000000">
        <w:rPr>
          <w:sz w:val="24"/>
          <w:szCs w:val="24"/>
          <w:rtl w:val="0"/>
        </w:rPr>
        <w:t xml:space="preserve"> (2024).</w:t>
      </w:r>
    </w:p>
    <w:p w:rsidR="00000000" w:rsidDel="00000000" w:rsidP="00000000" w:rsidRDefault="00000000" w:rsidRPr="00000000" w14:paraId="00000069">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Black Justice, </w:t>
      </w:r>
      <w:r w:rsidDel="00000000" w:rsidR="00000000" w:rsidRPr="00000000">
        <w:rPr>
          <w:i w:val="1"/>
          <w:iCs w:val="1"/>
          <w:sz w:val="24"/>
          <w:szCs w:val="24"/>
          <w:rtl w:val="0"/>
        </w:rPr>
        <w:t xml:space="preserve">Vulnerability Erasure in Regulatory Systems</w:t>
      </w:r>
      <w:r w:rsidDel="00000000" w:rsidR="00000000" w:rsidRPr="00000000">
        <w:rPr>
          <w:sz w:val="24"/>
          <w:szCs w:val="24"/>
          <w:rtl w:val="0"/>
        </w:rPr>
        <w:t xml:space="preserve"> (2025).</w:t>
      </w:r>
    </w:p>
    <w:p w:rsidR="00000000" w:rsidDel="00000000" w:rsidP="00000000" w:rsidRDefault="00000000" w:rsidRPr="00000000" w14:paraId="0000006A">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Steve Evans, Internal Service‑Complaint Response, 12 Feb 2026.</w:t>
      </w:r>
    </w:p>
    <w:p w:rsidR="00000000" w:rsidDel="00000000" w:rsidP="00000000" w:rsidRDefault="00000000" w:rsidRPr="00000000" w14:paraId="0000006B">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Black Justice, </w:t>
      </w:r>
      <w:r w:rsidDel="00000000" w:rsidR="00000000" w:rsidRPr="00000000">
        <w:rPr>
          <w:i w:val="1"/>
          <w:iCs w:val="1"/>
          <w:sz w:val="24"/>
          <w:szCs w:val="24"/>
          <w:rtl w:val="0"/>
        </w:rPr>
        <w:t xml:space="preserve">Institutional Self‑Protection and Racialised Risk</w:t>
      </w:r>
      <w:r w:rsidDel="00000000" w:rsidR="00000000" w:rsidRPr="00000000">
        <w:rPr>
          <w:sz w:val="24"/>
          <w:szCs w:val="24"/>
          <w:rtl w:val="0"/>
        </w:rPr>
        <w:t xml:space="preserve"> (2023).</w:t>
      </w:r>
    </w:p>
    <w:p w:rsidR="00000000" w:rsidDel="00000000" w:rsidP="00000000" w:rsidRDefault="00000000" w:rsidRPr="00000000" w14:paraId="0000006C">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Email from Senior Investigator Eva Myers, 12 Feb 2026.</w:t>
      </w:r>
    </w:p>
    <w:p w:rsidR="00000000" w:rsidDel="00000000" w:rsidP="00000000" w:rsidRDefault="00000000" w:rsidRPr="00000000" w14:paraId="0000006D">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Black Justice, </w:t>
      </w:r>
      <w:r w:rsidDel="00000000" w:rsidR="00000000" w:rsidRPr="00000000">
        <w:rPr>
          <w:i w:val="1"/>
          <w:iCs w:val="1"/>
          <w:sz w:val="24"/>
          <w:szCs w:val="24"/>
          <w:rtl w:val="0"/>
        </w:rPr>
        <w:t xml:space="preserve">Escalation Deterrence in Ombudsman Schemes</w:t>
      </w:r>
      <w:r w:rsidDel="00000000" w:rsidR="00000000" w:rsidRPr="00000000">
        <w:rPr>
          <w:sz w:val="24"/>
          <w:szCs w:val="24"/>
          <w:rtl w:val="0"/>
        </w:rPr>
        <w:t xml:space="preserve"> (2024).</w:t>
      </w:r>
    </w:p>
    <w:p w:rsidR="00000000" w:rsidDel="00000000" w:rsidP="00000000" w:rsidRDefault="00000000" w:rsidRPr="00000000" w14:paraId="0000006E">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Internal Service‑Complaint Response, 12 Feb 2026.</w:t>
      </w:r>
    </w:p>
    <w:p w:rsidR="00000000" w:rsidDel="00000000" w:rsidP="00000000" w:rsidRDefault="00000000" w:rsidRPr="00000000" w14:paraId="0000006F">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IA correspondence, 6–7 Feb 2026.</w:t>
      </w:r>
    </w:p>
    <w:p w:rsidR="00000000" w:rsidDel="00000000" w:rsidP="00000000" w:rsidRDefault="00000000" w:rsidRPr="00000000" w14:paraId="00000070">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Black Justice, </w:t>
      </w:r>
      <w:r w:rsidDel="00000000" w:rsidR="00000000" w:rsidRPr="00000000">
        <w:rPr>
          <w:i w:val="1"/>
          <w:iCs w:val="1"/>
          <w:sz w:val="24"/>
          <w:szCs w:val="24"/>
          <w:rtl w:val="0"/>
        </w:rPr>
        <w:t xml:space="preserve">Institutional Defensiveness in Complaint Handling</w:t>
      </w:r>
      <w:r w:rsidDel="00000000" w:rsidR="00000000" w:rsidRPr="00000000">
        <w:rPr>
          <w:sz w:val="24"/>
          <w:szCs w:val="24"/>
          <w:rtl w:val="0"/>
        </w:rPr>
        <w:t xml:space="preserve"> (2025).</w:t>
      </w:r>
    </w:p>
    <w:p w:rsidR="00000000" w:rsidDel="00000000" w:rsidP="00000000" w:rsidRDefault="00000000" w:rsidRPr="00000000" w14:paraId="00000071">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See footnote 13.</w:t>
      </w:r>
    </w:p>
    <w:p w:rsidR="00000000" w:rsidDel="00000000" w:rsidP="00000000" w:rsidRDefault="00000000" w:rsidRPr="00000000" w14:paraId="00000072">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See footnote 15.</w:t>
      </w:r>
    </w:p>
    <w:p w:rsidR="00000000" w:rsidDel="00000000" w:rsidP="00000000" w:rsidRDefault="00000000" w:rsidRPr="00000000" w14:paraId="00000073">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Ibid.</w:t>
      </w:r>
    </w:p>
    <w:p w:rsidR="00000000" w:rsidDel="00000000" w:rsidP="00000000" w:rsidRDefault="00000000" w:rsidRPr="00000000" w14:paraId="00000074">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See footnote 16.</w:t>
      </w:r>
    </w:p>
    <w:p w:rsidR="00000000" w:rsidDel="00000000" w:rsidP="00000000" w:rsidRDefault="00000000" w:rsidRPr="00000000" w14:paraId="00000075">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See footnote 18.</w:t>
      </w:r>
    </w:p>
    <w:p w:rsidR="00000000" w:rsidDel="00000000" w:rsidP="00000000" w:rsidRDefault="00000000" w:rsidRPr="00000000" w14:paraId="00000076">
      <w:pPr>
        <w:numPr>
          <w:ilvl w:val="0"/>
          <w:numId w:val="2"/>
        </w:numPr>
        <w:spacing w:after="240" w:before="0" w:beforeAutospacing="0" w:lineRule="auto"/>
        <w:ind w:left="720" w:hanging="360"/>
        <w:rPr>
          <w:sz w:val="24"/>
          <w:szCs w:val="24"/>
        </w:rPr>
      </w:pPr>
      <w:r w:rsidDel="00000000" w:rsidR="00000000" w:rsidRPr="00000000">
        <w:rPr>
          <w:sz w:val="24"/>
          <w:szCs w:val="24"/>
          <w:rtl w:val="0"/>
        </w:rPr>
        <w:t xml:space="preserve">See footnote 20.</w:t>
      </w:r>
    </w:p>
    <w:p w:rsidR="00000000" w:rsidDel="00000000" w:rsidP="00000000" w:rsidRDefault="00000000" w:rsidRPr="00000000" w14:paraId="00000077">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