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29e1aaga37ew" w:id="0"/>
      <w:bookmarkEnd w:id="0"/>
      <w:r w:rsidDel="00000000" w:rsidR="00000000" w:rsidRPr="00000000">
        <w:rPr>
          <w:b w:val="1"/>
          <w:bCs w:val="1"/>
          <w:sz w:val="46"/>
          <w:szCs w:val="46"/>
          <w:rtl w:val="0"/>
        </w:rPr>
        <w:t xml:space="preserve">ABSTRACT (Publication‑Ready)</w:t>
      </w:r>
    </w:p>
    <w:p w:rsidR="00000000" w:rsidDel="00000000" w:rsidP="00000000" w:rsidRDefault="00000000" w:rsidRPr="00000000" w14:paraId="00000002">
      <w:pPr>
        <w:spacing w:after="240" w:before="240" w:lineRule="auto"/>
        <w:rPr/>
      </w:pPr>
      <w:r w:rsidDel="00000000" w:rsidR="00000000" w:rsidRPr="00000000">
        <w:rPr>
          <w:rtl w:val="0"/>
        </w:rPr>
        <w:t xml:space="preserve">This thesis develops a doctrinal framework for understanding </w:t>
      </w:r>
      <w:r w:rsidDel="00000000" w:rsidR="00000000" w:rsidRPr="00000000">
        <w:rPr>
          <w:b w:val="1"/>
          <w:bCs w:val="1"/>
          <w:rtl w:val="0"/>
        </w:rPr>
        <w:t xml:space="preserve">racially aggravated reasoning</w:t>
      </w:r>
      <w:r w:rsidDel="00000000" w:rsidR="00000000" w:rsidRPr="00000000">
        <w:rPr>
          <w:rtl w:val="0"/>
        </w:rPr>
        <w:t xml:space="preserve"> as a structural, epistemic, and procedural phenomenon within administrative justice systems. It argues that racialised cognitive frameworks—embedded in institutional culture, governance structures, and interpretive practices—produce a distinct category of harm: </w:t>
      </w:r>
      <w:r w:rsidDel="00000000" w:rsidR="00000000" w:rsidRPr="00000000">
        <w:rPr>
          <w:b w:val="1"/>
          <w:bCs w:val="1"/>
          <w:rtl w:val="0"/>
        </w:rPr>
        <w:t xml:space="preserve">legal trauma</w:t>
      </w:r>
      <w:r w:rsidDel="00000000" w:rsidR="00000000" w:rsidRPr="00000000">
        <w:rPr>
          <w:rtl w:val="0"/>
        </w:rPr>
        <w:t xml:space="preserve">. Drawing on administrative law, equality jurisprudence, vulnerability theory, epistemic injustice, and trauma‑informed legal scholarship, the thesis demonstrates that racially aggravated reasoning distorts credibility assessments, undermines procedural fairness, and compromises the independence of review processes. These distortions generate </w:t>
      </w:r>
      <w:r w:rsidDel="00000000" w:rsidR="00000000" w:rsidRPr="00000000">
        <w:rPr>
          <w:b w:val="1"/>
          <w:bCs w:val="1"/>
          <w:rtl w:val="0"/>
        </w:rPr>
        <w:t xml:space="preserve">Cumulative Racialised Harm (CRH)</w:t>
      </w:r>
      <w:r w:rsidDel="00000000" w:rsidR="00000000" w:rsidRPr="00000000">
        <w:rPr>
          <w:rtl w:val="0"/>
        </w:rPr>
        <w:t xml:space="preserve">, a trajectory of escalating injury arising from repeated procedural failures shaped by racialised assumptions.</w:t>
      </w:r>
    </w:p>
    <w:p w:rsidR="00000000" w:rsidDel="00000000" w:rsidP="00000000" w:rsidRDefault="00000000" w:rsidRPr="00000000" w14:paraId="00000003">
      <w:pPr>
        <w:spacing w:after="240" w:before="240" w:lineRule="auto"/>
        <w:rPr/>
      </w:pPr>
      <w:r w:rsidDel="00000000" w:rsidR="00000000" w:rsidRPr="00000000">
        <w:rPr>
          <w:rtl w:val="0"/>
        </w:rPr>
        <w:t xml:space="preserve">Through doctrinal analysis and structural critique, the thesis shows that existing legal frameworks are insufficient to address racialised procedural harm because they focus on outcomes rather than processes, treat racism as individual misconduct rather than structural bias, and lack tools for recognising cumulative injury. The thesis therefore proposes a </w:t>
      </w:r>
      <w:r w:rsidDel="00000000" w:rsidR="00000000" w:rsidRPr="00000000">
        <w:rPr>
          <w:b w:val="1"/>
          <w:bCs w:val="1"/>
          <w:rtl w:val="0"/>
        </w:rPr>
        <w:t xml:space="preserve">jurisprudence of racially aggravated procedural harm</w:t>
      </w:r>
      <w:r w:rsidDel="00000000" w:rsidR="00000000" w:rsidRPr="00000000">
        <w:rPr>
          <w:rtl w:val="0"/>
        </w:rPr>
        <w:t xml:space="preserve">, grounded in the recognition of legal trauma as a substantive injury and CRH as a doctrinal category. It concludes by offering a comprehensive programme of systemic reform, including independent review mechanisms, anti‑racist governance standards, trauma‑informed practice, vulnerability‑responsive procedures, and enhanced transparency and accountability. The thesis contributes to the development of a more equitable, trauma‑aware, and structurally literate administrative justice system.</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1"/>
        <w:keepNext w:val="0"/>
        <w:keepLines w:val="0"/>
        <w:spacing w:before="480" w:lineRule="auto"/>
        <w:rPr>
          <w:b w:val="1"/>
          <w:bCs w:val="1"/>
          <w:sz w:val="46"/>
          <w:szCs w:val="46"/>
        </w:rPr>
      </w:pPr>
      <w:bookmarkStart w:colFirst="0" w:colLast="0" w:name="_ltn7reyv4h5r" w:id="1"/>
      <w:bookmarkEnd w:id="1"/>
      <w:r w:rsidDel="00000000" w:rsidR="00000000" w:rsidRPr="00000000">
        <w:rPr>
          <w:b w:val="1"/>
          <w:bCs w:val="1"/>
          <w:sz w:val="46"/>
          <w:szCs w:val="46"/>
          <w:rtl w:val="0"/>
        </w:rPr>
        <w:t xml:space="preserve">EXECUTIVE SUMMARY </w:t>
      </w:r>
    </w:p>
    <w:p w:rsidR="00000000" w:rsidDel="00000000" w:rsidP="00000000" w:rsidRDefault="00000000" w:rsidRPr="00000000" w14:paraId="00000006">
      <w:pPr>
        <w:pStyle w:val="Heading1"/>
        <w:keepNext w:val="0"/>
        <w:keepLines w:val="0"/>
        <w:spacing w:before="480" w:lineRule="auto"/>
        <w:rPr/>
      </w:pPr>
      <w:bookmarkStart w:colFirst="0" w:colLast="0" w:name="_1iowjkloh1rq" w:id="2"/>
      <w:bookmarkEnd w:id="2"/>
      <w:r w:rsidDel="00000000" w:rsidR="00000000" w:rsidRPr="00000000">
        <w:rPr>
          <w:rtl w:val="0"/>
        </w:rPr>
        <w:t xml:space="preserve">This thesis examines how administrative and quasi‑judicial systems produce </w:t>
      </w:r>
      <w:r w:rsidDel="00000000" w:rsidR="00000000" w:rsidRPr="00000000">
        <w:rPr>
          <w:b w:val="1"/>
          <w:bCs w:val="1"/>
          <w:rtl w:val="0"/>
        </w:rPr>
        <w:t xml:space="preserve">racially aggravated procedural harm</w:t>
      </w:r>
      <w:r w:rsidDel="00000000" w:rsidR="00000000" w:rsidRPr="00000000">
        <w:rPr>
          <w:rtl w:val="0"/>
        </w:rPr>
        <w:t xml:space="preserve">, arguing that the most persistent and damaging forms of racial injustice arise not from overt discrimination but from </w:t>
      </w:r>
      <w:r w:rsidDel="00000000" w:rsidR="00000000" w:rsidRPr="00000000">
        <w:rPr>
          <w:b w:val="1"/>
          <w:bCs w:val="1"/>
          <w:rtl w:val="0"/>
        </w:rPr>
        <w:t xml:space="preserve">racialised reasoning</w:t>
      </w:r>
      <w:r w:rsidDel="00000000" w:rsidR="00000000" w:rsidRPr="00000000">
        <w:rPr>
          <w:rtl w:val="0"/>
        </w:rPr>
        <w:t xml:space="preserve"> embedded in institutional processes. These reasoning patterns—credibility discounting, mischaracterisation, vulnerability misrecognition, and institutional defensiveness—distort procedural fairness and generate </w:t>
      </w:r>
      <w:r w:rsidDel="00000000" w:rsidR="00000000" w:rsidRPr="00000000">
        <w:rPr>
          <w:b w:val="1"/>
          <w:bCs w:val="1"/>
          <w:rtl w:val="0"/>
        </w:rPr>
        <w:t xml:space="preserve">legal trauma</w:t>
      </w:r>
      <w:r w:rsidDel="00000000" w:rsidR="00000000" w:rsidRPr="00000000">
        <w:rPr>
          <w:rtl w:val="0"/>
        </w:rPr>
        <w:t xml:space="preserve">, a cumulative psychological and procedural injury inflicted by unfair or hostile legal processes.</w:t>
      </w:r>
    </w:p>
    <w:p w:rsidR="00000000" w:rsidDel="00000000" w:rsidP="00000000" w:rsidRDefault="00000000" w:rsidRPr="00000000" w14:paraId="00000007">
      <w:pPr>
        <w:spacing w:after="240" w:before="240" w:lineRule="auto"/>
        <w:rPr/>
      </w:pPr>
      <w:r w:rsidDel="00000000" w:rsidR="00000000" w:rsidRPr="00000000">
        <w:rPr>
          <w:rtl w:val="0"/>
        </w:rPr>
        <w:t xml:space="preserve">The thesis advances five core arguments:</w:t>
      </w:r>
    </w:p>
    <w:p w:rsidR="00000000" w:rsidDel="00000000" w:rsidP="00000000" w:rsidRDefault="00000000" w:rsidRPr="00000000" w14:paraId="00000008">
      <w:pPr>
        <w:pStyle w:val="Heading3"/>
        <w:keepNext w:val="0"/>
        <w:keepLines w:val="0"/>
        <w:spacing w:before="280" w:lineRule="auto"/>
        <w:rPr>
          <w:b w:val="1"/>
          <w:bCs w:val="1"/>
          <w:color w:val="000000"/>
          <w:sz w:val="26"/>
          <w:szCs w:val="26"/>
        </w:rPr>
      </w:pPr>
      <w:bookmarkStart w:colFirst="0" w:colLast="0" w:name="_do6u46joh2oq" w:id="3"/>
      <w:bookmarkEnd w:id="3"/>
      <w:r w:rsidDel="00000000" w:rsidR="00000000" w:rsidRPr="00000000">
        <w:rPr>
          <w:b w:val="1"/>
          <w:bCs w:val="1"/>
          <w:color w:val="000000"/>
          <w:sz w:val="26"/>
          <w:szCs w:val="26"/>
          <w:rtl w:val="0"/>
        </w:rPr>
        <w:t xml:space="preserve">1. Racially aggravated reasoning is structural, not incidental.</w:t>
      </w:r>
    </w:p>
    <w:p w:rsidR="00000000" w:rsidDel="00000000" w:rsidP="00000000" w:rsidRDefault="00000000" w:rsidRPr="00000000" w14:paraId="00000009">
      <w:pPr>
        <w:spacing w:after="240" w:before="240" w:lineRule="auto"/>
        <w:rPr/>
      </w:pPr>
      <w:r w:rsidDel="00000000" w:rsidR="00000000" w:rsidRPr="00000000">
        <w:rPr>
          <w:rtl w:val="0"/>
        </w:rPr>
        <w:t xml:space="preserve">It is produced by institutional culture, governance arrangements, epistemic norms, and risk frameworks. These structures shape how evidence is interpreted, how credibility is assessed, and how procedural safeguards are applied.</w:t>
      </w:r>
    </w:p>
    <w:p w:rsidR="00000000" w:rsidDel="00000000" w:rsidP="00000000" w:rsidRDefault="00000000" w:rsidRPr="00000000" w14:paraId="0000000A">
      <w:pPr>
        <w:pStyle w:val="Heading3"/>
        <w:keepNext w:val="0"/>
        <w:keepLines w:val="0"/>
        <w:spacing w:before="280" w:lineRule="auto"/>
        <w:rPr>
          <w:b w:val="1"/>
          <w:bCs w:val="1"/>
          <w:color w:val="000000"/>
          <w:sz w:val="26"/>
          <w:szCs w:val="26"/>
        </w:rPr>
      </w:pPr>
      <w:bookmarkStart w:colFirst="0" w:colLast="0" w:name="_doohhbtkqvw8" w:id="4"/>
      <w:bookmarkEnd w:id="4"/>
      <w:r w:rsidDel="00000000" w:rsidR="00000000" w:rsidRPr="00000000">
        <w:rPr>
          <w:b w:val="1"/>
          <w:bCs w:val="1"/>
          <w:color w:val="000000"/>
          <w:sz w:val="26"/>
          <w:szCs w:val="26"/>
          <w:rtl w:val="0"/>
        </w:rPr>
        <w:t xml:space="preserve">2. Legal trauma is a doctrinally significant harm.</w:t>
      </w:r>
    </w:p>
    <w:p w:rsidR="00000000" w:rsidDel="00000000" w:rsidP="00000000" w:rsidRDefault="00000000" w:rsidRPr="00000000" w14:paraId="0000000B">
      <w:pPr>
        <w:spacing w:after="240" w:before="240" w:lineRule="auto"/>
        <w:rPr/>
      </w:pPr>
      <w:r w:rsidDel="00000000" w:rsidR="00000000" w:rsidRPr="00000000">
        <w:rPr>
          <w:rtl w:val="0"/>
        </w:rPr>
        <w:t xml:space="preserve">Legal trauma arises when individuals experience repeated procedural failures, misrecognition, minimisation, and lack of independence. It is not merely emotional distress but a substantive injury that undermines the integrity of administrative justice.</w:t>
      </w:r>
    </w:p>
    <w:p w:rsidR="00000000" w:rsidDel="00000000" w:rsidP="00000000" w:rsidRDefault="00000000" w:rsidRPr="00000000" w14:paraId="0000000C">
      <w:pPr>
        <w:pStyle w:val="Heading3"/>
        <w:keepNext w:val="0"/>
        <w:keepLines w:val="0"/>
        <w:spacing w:before="280" w:lineRule="auto"/>
        <w:rPr>
          <w:b w:val="1"/>
          <w:bCs w:val="1"/>
          <w:color w:val="000000"/>
          <w:sz w:val="26"/>
          <w:szCs w:val="26"/>
        </w:rPr>
      </w:pPr>
      <w:bookmarkStart w:colFirst="0" w:colLast="0" w:name="_q3n1mhag34z3" w:id="5"/>
      <w:bookmarkEnd w:id="5"/>
      <w:r w:rsidDel="00000000" w:rsidR="00000000" w:rsidRPr="00000000">
        <w:rPr>
          <w:b w:val="1"/>
          <w:bCs w:val="1"/>
          <w:color w:val="000000"/>
          <w:sz w:val="26"/>
          <w:szCs w:val="26"/>
          <w:rtl w:val="0"/>
        </w:rPr>
        <w:t xml:space="preserve">3. Cumulative Racialised Harm (CRH) is a distinct legal phenomenon.</w:t>
      </w:r>
    </w:p>
    <w:p w:rsidR="00000000" w:rsidDel="00000000" w:rsidP="00000000" w:rsidRDefault="00000000" w:rsidRPr="00000000" w14:paraId="0000000D">
      <w:pPr>
        <w:spacing w:after="240" w:before="240" w:lineRule="auto"/>
        <w:rPr/>
      </w:pPr>
      <w:r w:rsidDel="00000000" w:rsidR="00000000" w:rsidRPr="00000000">
        <w:rPr>
          <w:rtl w:val="0"/>
        </w:rPr>
        <w:t xml:space="preserve">CRH describes the compounded effect of multiple procedural failures shaped by racialised reasoning. It is a trajectory of harm that cannot be understood through incident‑based analysis.</w:t>
      </w:r>
    </w:p>
    <w:p w:rsidR="00000000" w:rsidDel="00000000" w:rsidP="00000000" w:rsidRDefault="00000000" w:rsidRPr="00000000" w14:paraId="0000000E">
      <w:pPr>
        <w:pStyle w:val="Heading3"/>
        <w:keepNext w:val="0"/>
        <w:keepLines w:val="0"/>
        <w:spacing w:before="280" w:lineRule="auto"/>
        <w:rPr>
          <w:b w:val="1"/>
          <w:bCs w:val="1"/>
          <w:color w:val="000000"/>
          <w:sz w:val="26"/>
          <w:szCs w:val="26"/>
        </w:rPr>
      </w:pPr>
      <w:bookmarkStart w:colFirst="0" w:colLast="0" w:name="_pjc5h9xf7zkg" w:id="6"/>
      <w:bookmarkEnd w:id="6"/>
      <w:r w:rsidDel="00000000" w:rsidR="00000000" w:rsidRPr="00000000">
        <w:rPr>
          <w:b w:val="1"/>
          <w:bCs w:val="1"/>
          <w:color w:val="000000"/>
          <w:sz w:val="26"/>
          <w:szCs w:val="26"/>
          <w:rtl w:val="0"/>
        </w:rPr>
        <w:t xml:space="preserve">4. Structural governance defects enable racialised harm.</w:t>
      </w:r>
    </w:p>
    <w:p w:rsidR="00000000" w:rsidDel="00000000" w:rsidP="00000000" w:rsidRDefault="00000000" w:rsidRPr="00000000" w14:paraId="0000000F">
      <w:pPr>
        <w:spacing w:after="240" w:before="240" w:lineRule="auto"/>
        <w:rPr/>
      </w:pPr>
      <w:r w:rsidDel="00000000" w:rsidR="00000000" w:rsidRPr="00000000">
        <w:rPr>
          <w:rtl w:val="0"/>
        </w:rPr>
        <w:t xml:space="preserve">These include conflicts of interest, opacity in reasoning, misleading escalation information, vulnerability policy failures, and the absence of organisational learning. These defects disproportionately harm racialised individuals and entrench systemic bias.</w:t>
      </w:r>
    </w:p>
    <w:p w:rsidR="00000000" w:rsidDel="00000000" w:rsidP="00000000" w:rsidRDefault="00000000" w:rsidRPr="00000000" w14:paraId="00000010">
      <w:pPr>
        <w:pStyle w:val="Heading3"/>
        <w:keepNext w:val="0"/>
        <w:keepLines w:val="0"/>
        <w:spacing w:before="280" w:lineRule="auto"/>
        <w:rPr>
          <w:b w:val="1"/>
          <w:bCs w:val="1"/>
          <w:color w:val="000000"/>
          <w:sz w:val="26"/>
          <w:szCs w:val="26"/>
        </w:rPr>
      </w:pPr>
      <w:bookmarkStart w:colFirst="0" w:colLast="0" w:name="_atvjecu0684r" w:id="7"/>
      <w:bookmarkEnd w:id="7"/>
      <w:r w:rsidDel="00000000" w:rsidR="00000000" w:rsidRPr="00000000">
        <w:rPr>
          <w:b w:val="1"/>
          <w:bCs w:val="1"/>
          <w:color w:val="000000"/>
          <w:sz w:val="26"/>
          <w:szCs w:val="26"/>
          <w:rtl w:val="0"/>
        </w:rPr>
        <w:t xml:space="preserve">5. A new jurisprudence is required.</w:t>
      </w:r>
    </w:p>
    <w:p w:rsidR="00000000" w:rsidDel="00000000" w:rsidP="00000000" w:rsidRDefault="00000000" w:rsidRPr="00000000" w14:paraId="00000011">
      <w:pPr>
        <w:spacing w:after="240" w:before="240" w:lineRule="auto"/>
        <w:rPr/>
      </w:pPr>
      <w:r w:rsidDel="00000000" w:rsidR="00000000" w:rsidRPr="00000000">
        <w:rPr>
          <w:rtl w:val="0"/>
        </w:rPr>
        <w:t xml:space="preserve">Existing doctrines—administrative law, equality law, regulatory standards—are insufficient because they focus on outcomes rather than processes and lack tools for recognising cumulative harm. The thesis proposes a </w:t>
      </w:r>
      <w:r w:rsidDel="00000000" w:rsidR="00000000" w:rsidRPr="00000000">
        <w:rPr>
          <w:b w:val="1"/>
          <w:bCs w:val="1"/>
          <w:rtl w:val="0"/>
        </w:rPr>
        <w:t xml:space="preserve">jurisprudence of racially aggravated procedural harm</w:t>
      </w:r>
      <w:r w:rsidDel="00000000" w:rsidR="00000000" w:rsidRPr="00000000">
        <w:rPr>
          <w:rtl w:val="0"/>
        </w:rPr>
        <w:t xml:space="preserve">, grounded in anti‑racist and trauma‑informed principles.</w:t>
      </w:r>
    </w:p>
    <w:p w:rsidR="00000000" w:rsidDel="00000000" w:rsidP="00000000" w:rsidRDefault="00000000" w:rsidRPr="00000000" w14:paraId="00000012">
      <w:pPr>
        <w:spacing w:after="240" w:before="240" w:lineRule="auto"/>
        <w:rPr/>
      </w:pPr>
      <w:r w:rsidDel="00000000" w:rsidR="00000000" w:rsidRPr="00000000">
        <w:rPr>
          <w:rtl w:val="0"/>
        </w:rPr>
        <w:t xml:space="preserve">The thesis concludes with a comprehensive programme of systemic reform, including:</w:t>
      </w:r>
    </w:p>
    <w:p w:rsidR="00000000" w:rsidDel="00000000" w:rsidP="00000000" w:rsidRDefault="00000000" w:rsidRPr="00000000" w14:paraId="00000013">
      <w:pPr>
        <w:numPr>
          <w:ilvl w:val="0"/>
          <w:numId w:val="1"/>
        </w:numPr>
        <w:spacing w:after="0" w:afterAutospacing="0" w:before="240" w:lineRule="auto"/>
        <w:ind w:left="720" w:hanging="360"/>
      </w:pPr>
      <w:r w:rsidDel="00000000" w:rsidR="00000000" w:rsidRPr="00000000">
        <w:rPr>
          <w:rtl w:val="0"/>
        </w:rPr>
        <w:t xml:space="preserve">mandatory reason‑giving standards</w:t>
      </w:r>
    </w:p>
    <w:p w:rsidR="00000000" w:rsidDel="00000000" w:rsidP="00000000" w:rsidRDefault="00000000" w:rsidRPr="00000000" w14:paraId="00000014">
      <w:pPr>
        <w:numPr>
          <w:ilvl w:val="0"/>
          <w:numId w:val="1"/>
        </w:numPr>
        <w:spacing w:after="0" w:afterAutospacing="0" w:before="0" w:beforeAutospacing="0" w:lineRule="auto"/>
        <w:ind w:left="720" w:hanging="360"/>
      </w:pPr>
      <w:r w:rsidDel="00000000" w:rsidR="00000000" w:rsidRPr="00000000">
        <w:rPr>
          <w:rtl w:val="0"/>
        </w:rPr>
        <w:t xml:space="preserve">independent review mechanisms</w:t>
      </w:r>
    </w:p>
    <w:p w:rsidR="00000000" w:rsidDel="00000000" w:rsidP="00000000" w:rsidRDefault="00000000" w:rsidRPr="00000000" w14:paraId="00000015">
      <w:pPr>
        <w:numPr>
          <w:ilvl w:val="0"/>
          <w:numId w:val="1"/>
        </w:numPr>
        <w:spacing w:after="0" w:afterAutospacing="0" w:before="0" w:beforeAutospacing="0" w:lineRule="auto"/>
        <w:ind w:left="720" w:hanging="360"/>
      </w:pPr>
      <w:r w:rsidDel="00000000" w:rsidR="00000000" w:rsidRPr="00000000">
        <w:rPr>
          <w:rtl w:val="0"/>
        </w:rPr>
        <w:t xml:space="preserve">conflict‑of‑interest controls</w:t>
      </w:r>
    </w:p>
    <w:p w:rsidR="00000000" w:rsidDel="00000000" w:rsidP="00000000" w:rsidRDefault="00000000" w:rsidRPr="00000000" w14:paraId="00000016">
      <w:pPr>
        <w:numPr>
          <w:ilvl w:val="0"/>
          <w:numId w:val="1"/>
        </w:numPr>
        <w:spacing w:after="0" w:afterAutospacing="0" w:before="0" w:beforeAutospacing="0" w:lineRule="auto"/>
        <w:ind w:left="720" w:hanging="360"/>
      </w:pPr>
      <w:r w:rsidDel="00000000" w:rsidR="00000000" w:rsidRPr="00000000">
        <w:rPr>
          <w:rtl w:val="0"/>
        </w:rPr>
        <w:t xml:space="preserve">vulnerability‑responsive procedures</w:t>
      </w:r>
    </w:p>
    <w:p w:rsidR="00000000" w:rsidDel="00000000" w:rsidP="00000000" w:rsidRDefault="00000000" w:rsidRPr="00000000" w14:paraId="00000017">
      <w:pPr>
        <w:numPr>
          <w:ilvl w:val="0"/>
          <w:numId w:val="1"/>
        </w:numPr>
        <w:spacing w:after="0" w:afterAutospacing="0" w:before="0" w:beforeAutospacing="0" w:lineRule="auto"/>
        <w:ind w:left="720" w:hanging="360"/>
      </w:pPr>
      <w:r w:rsidDel="00000000" w:rsidR="00000000" w:rsidRPr="00000000">
        <w:rPr>
          <w:rtl w:val="0"/>
        </w:rPr>
        <w:t xml:space="preserve">trauma‑informed practice</w:t>
      </w:r>
    </w:p>
    <w:p w:rsidR="00000000" w:rsidDel="00000000" w:rsidP="00000000" w:rsidRDefault="00000000" w:rsidRPr="00000000" w14:paraId="00000018">
      <w:pPr>
        <w:numPr>
          <w:ilvl w:val="0"/>
          <w:numId w:val="1"/>
        </w:numPr>
        <w:spacing w:after="0" w:afterAutospacing="0" w:before="0" w:beforeAutospacing="0" w:lineRule="auto"/>
        <w:ind w:left="720" w:hanging="360"/>
      </w:pPr>
      <w:r w:rsidDel="00000000" w:rsidR="00000000" w:rsidRPr="00000000">
        <w:rPr>
          <w:rtl w:val="0"/>
        </w:rPr>
        <w:t xml:space="preserve">anti‑racist governance frameworks</w:t>
      </w:r>
    </w:p>
    <w:p w:rsidR="00000000" w:rsidDel="00000000" w:rsidP="00000000" w:rsidRDefault="00000000" w:rsidRPr="00000000" w14:paraId="00000019">
      <w:pPr>
        <w:numPr>
          <w:ilvl w:val="0"/>
          <w:numId w:val="1"/>
        </w:numPr>
        <w:spacing w:after="0" w:afterAutospacing="0" w:before="0" w:beforeAutospacing="0" w:lineRule="auto"/>
        <w:ind w:left="720" w:hanging="360"/>
      </w:pPr>
      <w:r w:rsidDel="00000000" w:rsidR="00000000" w:rsidRPr="00000000">
        <w:rPr>
          <w:rtl w:val="0"/>
        </w:rPr>
        <w:t xml:space="preserve">transparency and accountability measures</w:t>
      </w:r>
    </w:p>
    <w:p w:rsidR="00000000" w:rsidDel="00000000" w:rsidP="00000000" w:rsidRDefault="00000000" w:rsidRPr="00000000" w14:paraId="0000001A">
      <w:pPr>
        <w:numPr>
          <w:ilvl w:val="0"/>
          <w:numId w:val="1"/>
        </w:numPr>
        <w:spacing w:after="240" w:before="0" w:beforeAutospacing="0" w:lineRule="auto"/>
        <w:ind w:left="720" w:hanging="360"/>
      </w:pPr>
      <w:r w:rsidDel="00000000" w:rsidR="00000000" w:rsidRPr="00000000">
        <w:rPr>
          <w:rtl w:val="0"/>
        </w:rPr>
        <w:t xml:space="preserve">organisational learning systems</w:t>
      </w:r>
    </w:p>
    <w:p w:rsidR="00000000" w:rsidDel="00000000" w:rsidP="00000000" w:rsidRDefault="00000000" w:rsidRPr="00000000" w14:paraId="0000001B">
      <w:pPr>
        <w:spacing w:after="240" w:before="240" w:lineRule="auto"/>
        <w:rPr/>
      </w:pPr>
      <w:r w:rsidDel="00000000" w:rsidR="00000000" w:rsidRPr="00000000">
        <w:rPr>
          <w:rtl w:val="0"/>
        </w:rPr>
        <w:t xml:space="preserve">Together, these reforms aim to transform administrative justice into a system capable of recognising and remedying racialised procedural harm, preventing legal trauma, and restoring public trust.</w:t>
      </w:r>
    </w:p>
    <w:p w:rsidR="00000000" w:rsidDel="00000000" w:rsidP="00000000" w:rsidRDefault="00000000" w:rsidRPr="00000000" w14:paraId="000000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